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3462DA">
      <w:pPr>
        <w:pStyle w:val="3"/>
        <w:spacing w:line="600" w:lineRule="exact"/>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附件2</w:t>
      </w:r>
    </w:p>
    <w:p w14:paraId="4B0E1B57">
      <w:pPr>
        <w:pStyle w:val="3"/>
        <w:spacing w:line="560" w:lineRule="exact"/>
        <w:rPr>
          <w:rFonts w:ascii="Times New Roman" w:hAnsi="Times New Roman" w:eastAsia="方正仿宋_GBK" w:cs="Times New Roman"/>
          <w:sz w:val="32"/>
          <w:szCs w:val="32"/>
          <w:highlight w:val="none"/>
        </w:rPr>
      </w:pPr>
    </w:p>
    <w:p w14:paraId="17A091FA">
      <w:pPr>
        <w:pStyle w:val="3"/>
        <w:spacing w:line="560" w:lineRule="exact"/>
        <w:jc w:val="center"/>
        <w:rPr>
          <w:rFonts w:ascii="Times New Roman" w:hAnsi="Times New Roman" w:eastAsia="方正小标宋_GBK" w:cs="Times New Roman"/>
          <w:sz w:val="36"/>
          <w:szCs w:val="36"/>
          <w:highlight w:val="none"/>
        </w:rPr>
      </w:pPr>
      <w:r>
        <w:rPr>
          <w:rFonts w:ascii="Times New Roman" w:hAnsi="Times New Roman" w:eastAsia="方正小标宋_GBK" w:cs="Times New Roman"/>
          <w:sz w:val="36"/>
          <w:szCs w:val="36"/>
          <w:highlight w:val="none"/>
        </w:rPr>
        <w:t>四川省</w:t>
      </w:r>
      <w:r>
        <w:rPr>
          <w:rFonts w:hint="eastAsia" w:ascii="Times New Roman" w:hAnsi="Times New Roman" w:eastAsia="方正小标宋_GBK" w:cs="Times New Roman"/>
          <w:sz w:val="36"/>
          <w:szCs w:val="36"/>
          <w:highlight w:val="none"/>
          <w:lang w:eastAsia="zh-CN"/>
        </w:rPr>
        <w:t>2024</w:t>
      </w:r>
      <w:r>
        <w:rPr>
          <w:rFonts w:ascii="Times New Roman" w:hAnsi="Times New Roman" w:eastAsia="方正小标宋_GBK" w:cs="Times New Roman"/>
          <w:sz w:val="36"/>
          <w:szCs w:val="36"/>
          <w:highlight w:val="none"/>
        </w:rPr>
        <w:t>年专科毕业退役军人和普通</w:t>
      </w:r>
    </w:p>
    <w:p w14:paraId="592E62E7">
      <w:pPr>
        <w:pStyle w:val="3"/>
        <w:spacing w:line="560" w:lineRule="exact"/>
        <w:jc w:val="center"/>
        <w:rPr>
          <w:rFonts w:ascii="Times New Roman" w:hAnsi="Times New Roman" w:eastAsia="方正小标宋_GBK" w:cs="Times New Roman"/>
          <w:sz w:val="36"/>
          <w:szCs w:val="36"/>
          <w:highlight w:val="none"/>
        </w:rPr>
      </w:pPr>
      <w:r>
        <w:rPr>
          <w:rFonts w:ascii="Times New Roman" w:hAnsi="Times New Roman" w:eastAsia="方正小标宋_GBK" w:cs="Times New Roman"/>
          <w:sz w:val="36"/>
          <w:szCs w:val="36"/>
          <w:highlight w:val="none"/>
        </w:rPr>
        <w:t>高职（专科）毕业生</w:t>
      </w:r>
      <w:r>
        <w:rPr>
          <w:rFonts w:ascii="Times New Roman" w:hAnsi="Times New Roman" w:eastAsia="仿宋_GB2312" w:cs="Times New Roman"/>
          <w:sz w:val="36"/>
          <w:szCs w:val="36"/>
          <w:highlight w:val="none"/>
        </w:rPr>
        <w:t>“</w:t>
      </w:r>
      <w:r>
        <w:rPr>
          <w:rFonts w:ascii="Times New Roman" w:hAnsi="Times New Roman" w:eastAsia="方正小标宋_GBK" w:cs="Times New Roman"/>
          <w:sz w:val="36"/>
          <w:szCs w:val="36"/>
          <w:highlight w:val="none"/>
        </w:rPr>
        <w:t>下基层</w:t>
      </w:r>
      <w:r>
        <w:rPr>
          <w:rFonts w:ascii="Times New Roman" w:hAnsi="Times New Roman" w:eastAsia="仿宋_GB2312" w:cs="Times New Roman"/>
          <w:sz w:val="36"/>
          <w:szCs w:val="36"/>
          <w:highlight w:val="none"/>
        </w:rPr>
        <w:t>”</w:t>
      </w:r>
      <w:r>
        <w:rPr>
          <w:rFonts w:ascii="Times New Roman" w:hAnsi="Times New Roman" w:eastAsia="方正小标宋_GBK" w:cs="Times New Roman"/>
          <w:sz w:val="36"/>
          <w:szCs w:val="36"/>
          <w:highlight w:val="none"/>
        </w:rPr>
        <w:t>服务期满后</w:t>
      </w:r>
    </w:p>
    <w:p w14:paraId="4155A990">
      <w:pPr>
        <w:pStyle w:val="3"/>
        <w:spacing w:line="560" w:lineRule="exact"/>
        <w:jc w:val="center"/>
        <w:rPr>
          <w:rFonts w:ascii="Times New Roman" w:hAnsi="Times New Roman" w:eastAsia="方正小标宋_GBK" w:cs="Times New Roman"/>
          <w:sz w:val="36"/>
          <w:szCs w:val="36"/>
          <w:highlight w:val="none"/>
        </w:rPr>
      </w:pPr>
      <w:r>
        <w:rPr>
          <w:rFonts w:ascii="Times New Roman" w:hAnsi="Times New Roman" w:eastAsia="方正小标宋_GBK" w:cs="Times New Roman"/>
          <w:sz w:val="36"/>
          <w:szCs w:val="36"/>
          <w:highlight w:val="none"/>
        </w:rPr>
        <w:t>免试接受成人本科教育招生办法</w:t>
      </w:r>
    </w:p>
    <w:p w14:paraId="5D02D75B">
      <w:pPr>
        <w:pStyle w:val="3"/>
        <w:spacing w:line="560" w:lineRule="exact"/>
        <w:rPr>
          <w:rFonts w:ascii="Times New Roman" w:hAnsi="Times New Roman" w:eastAsia="方正仿宋_GBK" w:cs="Times New Roman"/>
          <w:sz w:val="32"/>
          <w:szCs w:val="32"/>
          <w:highlight w:val="none"/>
        </w:rPr>
      </w:pPr>
    </w:p>
    <w:p w14:paraId="4DE2C62D">
      <w:pPr>
        <w:pStyle w:val="3"/>
        <w:spacing w:line="560" w:lineRule="exact"/>
        <w:ind w:firstLine="640" w:firstLineChars="200"/>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根据退役军人事务部等十二部委《关于促进新时代退役军人就业创业工作的意见》（退役军人部发〔2018〕26号）、教育部办公厅《关于做好普通高职（专科）毕业生服义务兵役退役和</w:t>
      </w:r>
      <w:r>
        <w:rPr>
          <w:rFonts w:hint="eastAsia" w:ascii="Times New Roman" w:hAnsi="Times New Roman" w:eastAsia="仿宋_GB2312" w:cs="Times New Roman"/>
          <w:bCs/>
          <w:sz w:val="32"/>
          <w:szCs w:val="32"/>
          <w:highlight w:val="none"/>
          <w:lang w:eastAsia="zh-CN"/>
        </w:rPr>
        <w:t>“</w:t>
      </w:r>
      <w:r>
        <w:rPr>
          <w:rFonts w:hint="eastAsia" w:ascii="Times New Roman" w:hAnsi="Times New Roman" w:eastAsia="仿宋_GB2312" w:cs="Times New Roman"/>
          <w:bCs/>
          <w:sz w:val="32"/>
          <w:szCs w:val="32"/>
          <w:highlight w:val="none"/>
          <w:lang w:val="en-US" w:eastAsia="zh-CN"/>
        </w:rPr>
        <w:t>下基层</w:t>
      </w:r>
      <w:r>
        <w:rPr>
          <w:rFonts w:hint="eastAsia" w:ascii="Times New Roman" w:hAnsi="Times New Roman" w:eastAsia="仿宋_GB2312" w:cs="Times New Roman"/>
          <w:bCs/>
          <w:sz w:val="32"/>
          <w:szCs w:val="32"/>
          <w:highlight w:val="none"/>
          <w:lang w:eastAsia="zh-CN"/>
        </w:rPr>
        <w:t>”</w:t>
      </w:r>
      <w:r>
        <w:rPr>
          <w:rFonts w:ascii="Times New Roman" w:hAnsi="Times New Roman" w:eastAsia="仿宋_GB2312" w:cs="Times New Roman"/>
          <w:bCs/>
          <w:sz w:val="32"/>
          <w:szCs w:val="32"/>
          <w:highlight w:val="none"/>
        </w:rPr>
        <w:t>服务期满后接受本科教育招生工作的通知》（教学厅〔2009〕6号）文件规定，结合我省实际，特制定本招生办法。</w:t>
      </w:r>
    </w:p>
    <w:p w14:paraId="1A92F9C2">
      <w:pPr>
        <w:pStyle w:val="3"/>
        <w:spacing w:line="560" w:lineRule="exact"/>
        <w:rPr>
          <w:rFonts w:ascii="Times New Roman" w:hAnsi="Times New Roman" w:eastAsia="方正黑体_GBK" w:cs="Times New Roman"/>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黑体" w:cs="Times New Roman"/>
          <w:sz w:val="32"/>
          <w:szCs w:val="32"/>
          <w:highlight w:val="none"/>
        </w:rPr>
        <w:t>一、招生院校及招生计</w:t>
      </w:r>
      <w:r>
        <w:rPr>
          <w:rFonts w:ascii="Times New Roman" w:hAnsi="Times New Roman" w:eastAsia="方正黑体_GBK" w:cs="Times New Roman"/>
          <w:sz w:val="32"/>
          <w:szCs w:val="32"/>
          <w:highlight w:val="none"/>
        </w:rPr>
        <w:t>划</w:t>
      </w:r>
    </w:p>
    <w:p w14:paraId="7080E999">
      <w:pPr>
        <w:pStyle w:val="3"/>
        <w:spacing w:line="560" w:lineRule="exact"/>
        <w:rPr>
          <w:rFonts w:ascii="Times New Roman" w:hAnsi="Times New Roman" w:eastAsia="仿宋_GB2312" w:cs="Times New Roman"/>
          <w:bCs/>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仿宋_GB2312" w:cs="Times New Roman"/>
          <w:bCs/>
          <w:sz w:val="32"/>
          <w:szCs w:val="32"/>
          <w:highlight w:val="none"/>
        </w:rPr>
        <w:t>四川省内具有成人本科高等学历教育资格且</w:t>
      </w:r>
      <w:r>
        <w:rPr>
          <w:rFonts w:hint="eastAsia" w:ascii="Times New Roman" w:hAnsi="Times New Roman" w:eastAsia="仿宋_GB2312" w:cs="Times New Roman"/>
          <w:bCs/>
          <w:sz w:val="32"/>
          <w:szCs w:val="32"/>
          <w:highlight w:val="none"/>
          <w:lang w:eastAsia="zh-CN"/>
        </w:rPr>
        <w:t>2024</w:t>
      </w:r>
      <w:r>
        <w:rPr>
          <w:rFonts w:ascii="Times New Roman" w:hAnsi="Times New Roman" w:eastAsia="仿宋_GB2312" w:cs="Times New Roman"/>
          <w:bCs/>
          <w:sz w:val="32"/>
          <w:szCs w:val="32"/>
          <w:highlight w:val="none"/>
        </w:rPr>
        <w:t>年举办成人专科起点升本科教育的普通高校和独立设置的成人高校（以下简称成人高校）均可招收免试专升本考生。</w:t>
      </w:r>
    </w:p>
    <w:p w14:paraId="7944F371">
      <w:pPr>
        <w:pStyle w:val="3"/>
        <w:spacing w:line="560" w:lineRule="exact"/>
        <w:rPr>
          <w:rFonts w:ascii="Times New Roman" w:hAnsi="Times New Roman" w:eastAsia="仿宋_GB2312" w:cs="Times New Roman"/>
          <w:bCs/>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仿宋_GB2312" w:cs="Times New Roman"/>
          <w:bCs/>
          <w:sz w:val="32"/>
          <w:szCs w:val="32"/>
          <w:highlight w:val="none"/>
        </w:rPr>
        <w:t>成人高校在不超过本校上一年本科招生规模20%以内，可根据本校实际情况自行确定招生人数，招生计划由教育部单独下达。</w:t>
      </w:r>
    </w:p>
    <w:p w14:paraId="306CD064">
      <w:pPr>
        <w:pStyle w:val="3"/>
        <w:spacing w:line="560" w:lineRule="exact"/>
        <w:rPr>
          <w:rFonts w:ascii="Times New Roman" w:hAnsi="Times New Roman" w:eastAsia="方正仿宋_GBK" w:cs="Times New Roman"/>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仿宋_GB2312" w:cs="Times New Roman"/>
          <w:bCs/>
          <w:sz w:val="32"/>
          <w:szCs w:val="32"/>
          <w:highlight w:val="none"/>
        </w:rPr>
        <w:t>学生学习方式为业余（函授）学习，在校学制时间一般为两年半。</w:t>
      </w:r>
    </w:p>
    <w:p w14:paraId="1843EC8F">
      <w:pPr>
        <w:pStyle w:val="3"/>
        <w:spacing w:line="560" w:lineRule="exact"/>
        <w:rPr>
          <w:rFonts w:ascii="Times New Roman" w:hAnsi="Times New Roman" w:eastAsia="方正黑体_GBK" w:cs="Times New Roman"/>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黑体" w:cs="Times New Roman"/>
          <w:sz w:val="32"/>
          <w:szCs w:val="32"/>
          <w:highlight w:val="none"/>
        </w:rPr>
        <w:t>二、招生对象</w:t>
      </w:r>
    </w:p>
    <w:p w14:paraId="5D92BCDE">
      <w:pPr>
        <w:pStyle w:val="3"/>
        <w:spacing w:line="560" w:lineRule="exact"/>
        <w:rPr>
          <w:rFonts w:ascii="Times New Roman" w:hAnsi="Times New Roman" w:eastAsia="方正仿宋_GBK" w:cs="Times New Roman"/>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方正楷体_GBK" w:cs="Times New Roman"/>
          <w:sz w:val="32"/>
          <w:szCs w:val="32"/>
          <w:highlight w:val="none"/>
        </w:rPr>
        <w:t>（一）</w:t>
      </w:r>
      <w:r>
        <w:rPr>
          <w:rFonts w:ascii="Times New Roman" w:hAnsi="Times New Roman" w:eastAsia="仿宋_GB2312" w:cs="Times New Roman"/>
          <w:bCs/>
          <w:sz w:val="32"/>
          <w:szCs w:val="32"/>
          <w:highlight w:val="none"/>
        </w:rPr>
        <w:t>我省具有教育部审定核准的国民教育系列高等学校、高等教育自学考试机构颁发的专科毕业证书、本科结业证书或以上证书的退役军人（自主就业退役士兵、自主择业军转干部、复员干部）。</w:t>
      </w:r>
    </w:p>
    <w:p w14:paraId="4DD700C5">
      <w:pPr>
        <w:pStyle w:val="3"/>
        <w:spacing w:line="560" w:lineRule="exact"/>
        <w:rPr>
          <w:rFonts w:ascii="Times New Roman" w:hAnsi="Times New Roman" w:eastAsia="仿宋_GB2312" w:cs="Times New Roman"/>
          <w:bCs/>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方正楷体_GBK" w:cs="Times New Roman"/>
          <w:sz w:val="32"/>
          <w:szCs w:val="32"/>
          <w:highlight w:val="none"/>
        </w:rPr>
        <w:t>　（二）</w:t>
      </w:r>
      <w:r>
        <w:rPr>
          <w:rFonts w:ascii="Times New Roman" w:hAnsi="Times New Roman" w:eastAsia="仿宋_GB2312" w:cs="Times New Roman"/>
          <w:bCs/>
          <w:sz w:val="32"/>
          <w:szCs w:val="32"/>
          <w:highlight w:val="none"/>
        </w:rPr>
        <w:t>我省具有教育部审定核准的国民教育系列普通高职（专科）毕业证书、本科结业证书或以上证书，并参加</w:t>
      </w:r>
      <w:r>
        <w:rPr>
          <w:rFonts w:hint="eastAsia" w:ascii="Times New Roman" w:hAnsi="Times New Roman" w:eastAsia="仿宋_GB2312" w:cs="Times New Roman"/>
          <w:bCs/>
          <w:sz w:val="32"/>
          <w:szCs w:val="32"/>
          <w:highlight w:val="none"/>
        </w:rPr>
        <w:t>“</w:t>
      </w:r>
      <w:r>
        <w:rPr>
          <w:rFonts w:ascii="Times New Roman" w:hAnsi="Times New Roman" w:eastAsia="仿宋_GB2312" w:cs="Times New Roman"/>
          <w:bCs/>
          <w:sz w:val="32"/>
          <w:szCs w:val="32"/>
          <w:highlight w:val="none"/>
        </w:rPr>
        <w:t>选聘高校毕业生到村任职</w:t>
      </w:r>
      <w:r>
        <w:rPr>
          <w:rFonts w:hint="eastAsia" w:ascii="Times New Roman" w:hAnsi="Times New Roman" w:eastAsia="仿宋_GB2312" w:cs="Times New Roman"/>
          <w:bCs/>
          <w:sz w:val="32"/>
          <w:szCs w:val="32"/>
          <w:highlight w:val="none"/>
        </w:rPr>
        <w:t>”“</w:t>
      </w:r>
      <w:r>
        <w:rPr>
          <w:rFonts w:ascii="Times New Roman" w:hAnsi="Times New Roman" w:eastAsia="仿宋_GB2312" w:cs="Times New Roman"/>
          <w:bCs/>
          <w:sz w:val="32"/>
          <w:szCs w:val="32"/>
          <w:highlight w:val="none"/>
        </w:rPr>
        <w:t>三支一扶</w:t>
      </w:r>
      <w:r>
        <w:rPr>
          <w:rFonts w:hint="eastAsia" w:ascii="Times New Roman" w:hAnsi="Times New Roman" w:eastAsia="仿宋_GB2312" w:cs="Times New Roman"/>
          <w:bCs/>
          <w:sz w:val="32"/>
          <w:szCs w:val="32"/>
          <w:highlight w:val="none"/>
        </w:rPr>
        <w:t>”</w:t>
      </w:r>
      <w:r>
        <w:rPr>
          <w:rFonts w:ascii="Times New Roman" w:hAnsi="Times New Roman" w:eastAsia="仿宋_GB2312" w:cs="Times New Roman"/>
          <w:bCs/>
          <w:sz w:val="32"/>
          <w:szCs w:val="32"/>
          <w:highlight w:val="none"/>
        </w:rPr>
        <w:t>（支教、支农、支医和扶贫）</w:t>
      </w:r>
      <w:r>
        <w:rPr>
          <w:rFonts w:hint="eastAsia" w:ascii="Times New Roman" w:hAnsi="Times New Roman" w:eastAsia="仿宋_GB2312" w:cs="Times New Roman"/>
          <w:bCs/>
          <w:sz w:val="32"/>
          <w:szCs w:val="32"/>
          <w:highlight w:val="none"/>
        </w:rPr>
        <w:t>“</w:t>
      </w:r>
      <w:r>
        <w:rPr>
          <w:rFonts w:ascii="Times New Roman" w:hAnsi="Times New Roman" w:eastAsia="仿宋_GB2312" w:cs="Times New Roman"/>
          <w:bCs/>
          <w:sz w:val="32"/>
          <w:szCs w:val="32"/>
          <w:highlight w:val="none"/>
        </w:rPr>
        <w:t>大学生志愿服务西部计划</w:t>
      </w:r>
      <w:r>
        <w:rPr>
          <w:rFonts w:hint="eastAsia" w:ascii="Times New Roman" w:hAnsi="Times New Roman" w:eastAsia="仿宋_GB2312" w:cs="Times New Roman"/>
          <w:bCs/>
          <w:sz w:val="32"/>
          <w:szCs w:val="32"/>
          <w:highlight w:val="none"/>
        </w:rPr>
        <w:t>”“</w:t>
      </w:r>
      <w:r>
        <w:rPr>
          <w:rFonts w:ascii="Times New Roman" w:hAnsi="Times New Roman" w:eastAsia="仿宋_GB2312" w:cs="Times New Roman"/>
          <w:bCs/>
          <w:sz w:val="32"/>
          <w:szCs w:val="32"/>
          <w:highlight w:val="none"/>
        </w:rPr>
        <w:t>农村义务教育阶段学校教师特设岗位计划</w:t>
      </w:r>
      <w:r>
        <w:rPr>
          <w:rFonts w:hint="eastAsia" w:ascii="Times New Roman" w:hAnsi="Times New Roman" w:eastAsia="仿宋_GB2312" w:cs="Times New Roman"/>
          <w:bCs/>
          <w:sz w:val="32"/>
          <w:szCs w:val="32"/>
          <w:highlight w:val="none"/>
        </w:rPr>
        <w:t>”</w:t>
      </w:r>
      <w:r>
        <w:rPr>
          <w:rFonts w:ascii="Times New Roman" w:hAnsi="Times New Roman" w:eastAsia="仿宋_GB2312" w:cs="Times New Roman"/>
          <w:bCs/>
          <w:sz w:val="32"/>
          <w:szCs w:val="32"/>
          <w:highlight w:val="none"/>
        </w:rPr>
        <w:t>等项目（以下统称</w:t>
      </w:r>
      <w:r>
        <w:rPr>
          <w:rFonts w:hint="eastAsia" w:ascii="Times New Roman" w:hAnsi="Times New Roman" w:eastAsia="仿宋_GB2312" w:cs="Times New Roman"/>
          <w:bCs/>
          <w:sz w:val="32"/>
          <w:szCs w:val="32"/>
          <w:highlight w:val="none"/>
        </w:rPr>
        <w:t>“</w:t>
      </w:r>
      <w:r>
        <w:rPr>
          <w:rFonts w:ascii="Times New Roman" w:hAnsi="Times New Roman" w:eastAsia="仿宋_GB2312" w:cs="Times New Roman"/>
          <w:bCs/>
          <w:sz w:val="32"/>
          <w:szCs w:val="32"/>
          <w:highlight w:val="none"/>
        </w:rPr>
        <w:t>下基层</w:t>
      </w:r>
      <w:r>
        <w:rPr>
          <w:rFonts w:hint="eastAsia" w:ascii="Times New Roman" w:hAnsi="Times New Roman" w:eastAsia="仿宋_GB2312" w:cs="Times New Roman"/>
          <w:bCs/>
          <w:sz w:val="32"/>
          <w:szCs w:val="32"/>
          <w:highlight w:val="none"/>
        </w:rPr>
        <w:t>”</w:t>
      </w:r>
      <w:r>
        <w:rPr>
          <w:rFonts w:ascii="Times New Roman" w:hAnsi="Times New Roman" w:eastAsia="仿宋_GB2312" w:cs="Times New Roman"/>
          <w:bCs/>
          <w:sz w:val="32"/>
          <w:szCs w:val="32"/>
          <w:highlight w:val="none"/>
        </w:rPr>
        <w:t>）服务期满且考核合格的人员。服务期满后免试接受成人本科教育的考生，只能选择其中一项报名。</w:t>
      </w:r>
    </w:p>
    <w:p w14:paraId="78DF10D2">
      <w:pPr>
        <w:pStyle w:val="3"/>
        <w:spacing w:line="560" w:lineRule="exact"/>
        <w:rPr>
          <w:rFonts w:ascii="黑体" w:hAnsi="黑体" w:eastAsia="黑体" w:cs="黑体"/>
          <w:sz w:val="32"/>
          <w:szCs w:val="32"/>
          <w:highlight w:val="none"/>
        </w:rPr>
      </w:pPr>
      <w:r>
        <w:rPr>
          <w:rFonts w:hint="eastAsia" w:ascii="黑体" w:hAnsi="黑体" w:eastAsia="黑体" w:cs="黑体"/>
          <w:sz w:val="32"/>
          <w:szCs w:val="32"/>
          <w:highlight w:val="none"/>
        </w:rPr>
        <w:t>　　三、报名</w:t>
      </w:r>
    </w:p>
    <w:p w14:paraId="4247CB01">
      <w:pPr>
        <w:pStyle w:val="3"/>
        <w:spacing w:line="560" w:lineRule="exact"/>
        <w:rPr>
          <w:rFonts w:ascii="Times New Roman" w:hAnsi="Times New Roman" w:eastAsia="仿宋_GB2312" w:cs="Times New Roman"/>
          <w:bCs/>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方正楷体_GBK" w:cs="Times New Roman"/>
          <w:sz w:val="32"/>
          <w:szCs w:val="32"/>
          <w:highlight w:val="none"/>
        </w:rPr>
        <w:t>（一）</w:t>
      </w:r>
      <w:r>
        <w:rPr>
          <w:rFonts w:ascii="Times New Roman" w:hAnsi="Times New Roman" w:eastAsia="仿宋_GB2312" w:cs="Times New Roman"/>
          <w:bCs/>
          <w:sz w:val="32"/>
          <w:szCs w:val="32"/>
          <w:highlight w:val="none"/>
        </w:rPr>
        <w:t>报考</w:t>
      </w:r>
      <w:r>
        <w:rPr>
          <w:rFonts w:hint="eastAsia" w:ascii="Times New Roman" w:hAnsi="Times New Roman" w:eastAsia="仿宋_GB2312" w:cs="Times New Roman"/>
          <w:bCs/>
          <w:sz w:val="32"/>
          <w:szCs w:val="32"/>
          <w:highlight w:val="none"/>
          <w:lang w:eastAsia="zh-CN"/>
        </w:rPr>
        <w:t>2024</w:t>
      </w:r>
      <w:r>
        <w:rPr>
          <w:rFonts w:ascii="Times New Roman" w:hAnsi="Times New Roman" w:eastAsia="仿宋_GB2312" w:cs="Times New Roman"/>
          <w:bCs/>
          <w:sz w:val="32"/>
          <w:szCs w:val="32"/>
          <w:highlight w:val="none"/>
        </w:rPr>
        <w:t>年成人高校免试专升本的考生可登录各市（州）招生考试机构网站查询招生学校及专业信息。</w:t>
      </w:r>
    </w:p>
    <w:p w14:paraId="734C98F9">
      <w:pPr>
        <w:pStyle w:val="3"/>
        <w:spacing w:line="560" w:lineRule="exact"/>
        <w:ind w:firstLine="640" w:firstLineChars="200"/>
        <w:rPr>
          <w:rFonts w:ascii="Times New Roman" w:hAnsi="Times New Roman" w:eastAsia="仿宋_GB2312" w:cs="Times New Roman"/>
          <w:bCs/>
          <w:sz w:val="32"/>
          <w:szCs w:val="32"/>
          <w:highlight w:val="none"/>
        </w:rPr>
      </w:pPr>
      <w:r>
        <w:rPr>
          <w:rFonts w:ascii="Times New Roman" w:hAnsi="Times New Roman" w:eastAsia="方正楷体_GBK" w:cs="Times New Roman"/>
          <w:sz w:val="32"/>
          <w:szCs w:val="32"/>
          <w:highlight w:val="none"/>
        </w:rPr>
        <w:t>（二）</w:t>
      </w:r>
      <w:r>
        <w:rPr>
          <w:rFonts w:ascii="Times New Roman" w:hAnsi="Times New Roman" w:eastAsia="仿宋_GB2312" w:cs="Times New Roman"/>
          <w:bCs/>
          <w:sz w:val="32"/>
          <w:szCs w:val="32"/>
          <w:highlight w:val="none"/>
        </w:rPr>
        <w:t>凡符合招生对象条件且自愿申请入学的考生，须由考生本人于</w:t>
      </w:r>
      <w:r>
        <w:rPr>
          <w:rFonts w:hint="eastAsia" w:ascii="Times New Roman" w:hAnsi="Times New Roman" w:eastAsia="仿宋_GB2312" w:cs="Times New Roman"/>
          <w:bCs/>
          <w:sz w:val="32"/>
          <w:szCs w:val="32"/>
          <w:highlight w:val="none"/>
          <w:lang w:eastAsia="zh-CN"/>
        </w:rPr>
        <w:t>2024</w:t>
      </w:r>
      <w:r>
        <w:rPr>
          <w:rFonts w:ascii="Times New Roman" w:hAnsi="Times New Roman" w:eastAsia="仿宋_GB2312" w:cs="Times New Roman"/>
          <w:bCs/>
          <w:sz w:val="32"/>
          <w:szCs w:val="32"/>
          <w:highlight w:val="none"/>
        </w:rPr>
        <w:t>年9月</w:t>
      </w:r>
      <w:r>
        <w:rPr>
          <w:rFonts w:hint="eastAsia" w:ascii="Times New Roman" w:hAnsi="Times New Roman" w:eastAsia="仿宋_GB2312" w:cs="Times New Roman"/>
          <w:bCs/>
          <w:sz w:val="32"/>
          <w:szCs w:val="32"/>
          <w:highlight w:val="none"/>
          <w:lang w:val="en-US" w:eastAsia="zh-CN"/>
        </w:rPr>
        <w:t>2</w:t>
      </w:r>
      <w:r>
        <w:rPr>
          <w:rFonts w:ascii="Times New Roman" w:hAnsi="Times New Roman" w:eastAsia="仿宋_GB2312" w:cs="Times New Roman"/>
          <w:bCs/>
          <w:sz w:val="32"/>
          <w:szCs w:val="32"/>
          <w:highlight w:val="none"/>
        </w:rPr>
        <w:t>日9</w:t>
      </w:r>
      <w:r>
        <w:rPr>
          <w:rFonts w:hint="eastAsia" w:ascii="Times New Roman" w:hAnsi="Times New Roman" w:eastAsia="仿宋_GB2312" w:cs="Times New Roman"/>
          <w:bCs/>
          <w:sz w:val="32"/>
          <w:szCs w:val="32"/>
          <w:highlight w:val="none"/>
          <w:lang w:val="en-US" w:eastAsia="zh-CN"/>
        </w:rPr>
        <w:t>:</w:t>
      </w:r>
      <w:r>
        <w:rPr>
          <w:rFonts w:ascii="Times New Roman" w:hAnsi="Times New Roman" w:eastAsia="仿宋_GB2312" w:cs="Times New Roman"/>
          <w:bCs/>
          <w:sz w:val="32"/>
          <w:szCs w:val="32"/>
          <w:highlight w:val="none"/>
        </w:rPr>
        <w:t>00至9月</w:t>
      </w:r>
      <w:r>
        <w:rPr>
          <w:rFonts w:hint="eastAsia" w:ascii="Times New Roman" w:hAnsi="Times New Roman" w:eastAsia="仿宋_GB2312" w:cs="Times New Roman"/>
          <w:bCs/>
          <w:sz w:val="32"/>
          <w:szCs w:val="32"/>
          <w:highlight w:val="none"/>
          <w:lang w:val="en-US" w:eastAsia="zh-CN"/>
        </w:rPr>
        <w:t>8</w:t>
      </w:r>
      <w:r>
        <w:rPr>
          <w:rFonts w:ascii="Times New Roman" w:hAnsi="Times New Roman" w:eastAsia="仿宋_GB2312" w:cs="Times New Roman"/>
          <w:bCs/>
          <w:sz w:val="32"/>
          <w:szCs w:val="32"/>
          <w:highlight w:val="none"/>
        </w:rPr>
        <w:t>日17</w:t>
      </w:r>
      <w:r>
        <w:rPr>
          <w:rFonts w:hint="eastAsia" w:ascii="Times New Roman" w:hAnsi="Times New Roman" w:eastAsia="仿宋_GB2312" w:cs="Times New Roman"/>
          <w:bCs/>
          <w:sz w:val="32"/>
          <w:szCs w:val="32"/>
          <w:highlight w:val="none"/>
          <w:lang w:val="en-US" w:eastAsia="zh-CN"/>
        </w:rPr>
        <w:t>:</w:t>
      </w:r>
      <w:r>
        <w:rPr>
          <w:rFonts w:ascii="Times New Roman" w:hAnsi="Times New Roman" w:eastAsia="仿宋_GB2312" w:cs="Times New Roman"/>
          <w:bCs/>
          <w:sz w:val="32"/>
          <w:szCs w:val="32"/>
          <w:highlight w:val="none"/>
        </w:rPr>
        <w:t>00期间在户口所在地或工作单位所在地的市（州）招生考试机构网站上进行网上报名和网上缴费，逾期不再受理申请。</w:t>
      </w:r>
    </w:p>
    <w:p w14:paraId="2AEC9084">
      <w:pPr>
        <w:pStyle w:val="3"/>
        <w:spacing w:line="560" w:lineRule="exact"/>
        <w:rPr>
          <w:rFonts w:ascii="Times New Roman" w:hAnsi="Times New Roman" w:eastAsia="仿宋_GB2312" w:cs="Times New Roman"/>
          <w:bCs/>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方正楷体_GBK" w:cs="Times New Roman"/>
          <w:sz w:val="32"/>
          <w:szCs w:val="32"/>
          <w:highlight w:val="none"/>
        </w:rPr>
        <w:t>（三）</w:t>
      </w:r>
      <w:r>
        <w:rPr>
          <w:rFonts w:ascii="Times New Roman" w:hAnsi="Times New Roman" w:eastAsia="仿宋_GB2312" w:cs="Times New Roman"/>
          <w:bCs/>
          <w:sz w:val="32"/>
          <w:szCs w:val="32"/>
          <w:highlight w:val="none"/>
        </w:rPr>
        <w:t>考生应在报名规定时间内，登录市（州）招生考试机构网站填写《四川省</w:t>
      </w:r>
      <w:r>
        <w:rPr>
          <w:rFonts w:hint="eastAsia" w:ascii="Times New Roman" w:hAnsi="Times New Roman" w:eastAsia="仿宋_GB2312" w:cs="Times New Roman"/>
          <w:bCs/>
          <w:sz w:val="32"/>
          <w:szCs w:val="32"/>
          <w:highlight w:val="none"/>
          <w:lang w:eastAsia="zh-CN"/>
        </w:rPr>
        <w:t>2024</w:t>
      </w:r>
      <w:r>
        <w:rPr>
          <w:rFonts w:ascii="Times New Roman" w:hAnsi="Times New Roman" w:eastAsia="仿宋_GB2312" w:cs="Times New Roman"/>
          <w:bCs/>
          <w:sz w:val="32"/>
          <w:szCs w:val="32"/>
          <w:highlight w:val="none"/>
        </w:rPr>
        <w:t>年专科毕业退役军人免试接受成人本科教育申请表》（附表1）或《四川省</w:t>
      </w:r>
      <w:r>
        <w:rPr>
          <w:rFonts w:hint="eastAsia" w:ascii="Times New Roman" w:hAnsi="Times New Roman" w:eastAsia="仿宋_GB2312" w:cs="Times New Roman"/>
          <w:bCs/>
          <w:sz w:val="32"/>
          <w:szCs w:val="32"/>
          <w:highlight w:val="none"/>
          <w:lang w:eastAsia="zh-CN"/>
        </w:rPr>
        <w:t>2024</w:t>
      </w:r>
      <w:r>
        <w:rPr>
          <w:rFonts w:ascii="Times New Roman" w:hAnsi="Times New Roman" w:eastAsia="仿宋_GB2312" w:cs="Times New Roman"/>
          <w:bCs/>
          <w:sz w:val="32"/>
          <w:szCs w:val="32"/>
          <w:highlight w:val="none"/>
        </w:rPr>
        <w:t>年普通高职（专科）毕业生“下基层”服务期满后免试接受成人本科教育申请表》（附表2）。填写完毕后，自行打印《申请表》（一式两份），粘贴2寸蓝底证件照，并按照有关要求签字盖章。</w:t>
      </w:r>
    </w:p>
    <w:p w14:paraId="740BB122">
      <w:pPr>
        <w:pStyle w:val="3"/>
        <w:spacing w:line="560" w:lineRule="exact"/>
        <w:ind w:firstLine="640" w:firstLineChars="200"/>
        <w:jc w:val="left"/>
        <w:rPr>
          <w:rFonts w:hint="default" w:ascii="Times New Roman" w:hAnsi="Times New Roman" w:eastAsia="仿宋_GB2312" w:cs="Times New Roman"/>
          <w:bCs/>
          <w:sz w:val="32"/>
          <w:szCs w:val="32"/>
          <w:highlight w:val="none"/>
          <w:lang w:val="en-US"/>
        </w:rPr>
      </w:pPr>
      <w:r>
        <w:rPr>
          <w:rFonts w:hint="eastAsia" w:ascii="Times New Roman" w:hAnsi="Times New Roman" w:eastAsia="仿宋_GB2312" w:cs="Times New Roman"/>
          <w:bCs/>
          <w:sz w:val="32"/>
          <w:szCs w:val="32"/>
          <w:highlight w:val="none"/>
          <w:lang w:val="en-US" w:eastAsia="zh-CN"/>
        </w:rPr>
        <w:t>考生报名时须</w:t>
      </w:r>
      <w:r>
        <w:rPr>
          <w:rFonts w:hint="eastAsia" w:eastAsia="仿宋_GB2312"/>
          <w:bCs/>
          <w:sz w:val="32"/>
          <w:szCs w:val="32"/>
          <w:highlight w:val="none"/>
          <w:lang w:val="en-US" w:eastAsia="zh-CN"/>
        </w:rPr>
        <w:t>按照四川省发展和改革委员会 四川省财政厅《关于重新发布全省教育系统考试考务行政事业性收费的通知》（川发改价格规</w:t>
      </w:r>
      <w:r>
        <w:rPr>
          <w:rFonts w:ascii="Times New Roman" w:hAnsi="Times New Roman" w:eastAsia="仿宋_GB2312" w:cs="Times New Roman"/>
          <w:bCs/>
          <w:sz w:val="32"/>
          <w:szCs w:val="32"/>
          <w:highlight w:val="none"/>
        </w:rPr>
        <w:t>〔202</w:t>
      </w:r>
      <w:r>
        <w:rPr>
          <w:rFonts w:hint="eastAsia" w:ascii="Times New Roman" w:hAnsi="Times New Roman" w:eastAsia="仿宋_GB2312" w:cs="Times New Roman"/>
          <w:bCs/>
          <w:sz w:val="32"/>
          <w:szCs w:val="32"/>
          <w:highlight w:val="none"/>
          <w:lang w:val="en-US" w:eastAsia="zh-CN"/>
        </w:rPr>
        <w:t>2</w:t>
      </w:r>
      <w:r>
        <w:rPr>
          <w:rFonts w:ascii="Times New Roman" w:hAnsi="Times New Roman" w:eastAsia="仿宋_GB2312" w:cs="Times New Roman"/>
          <w:bCs/>
          <w:sz w:val="32"/>
          <w:szCs w:val="32"/>
          <w:highlight w:val="none"/>
        </w:rPr>
        <w:t>〕</w:t>
      </w:r>
      <w:r>
        <w:rPr>
          <w:rFonts w:hint="eastAsia" w:ascii="Times New Roman" w:hAnsi="Times New Roman" w:eastAsia="仿宋_GB2312" w:cs="Times New Roman"/>
          <w:bCs/>
          <w:sz w:val="32"/>
          <w:szCs w:val="32"/>
          <w:highlight w:val="none"/>
          <w:lang w:val="en-US" w:eastAsia="zh-CN"/>
        </w:rPr>
        <w:t>484号</w:t>
      </w:r>
      <w:r>
        <w:rPr>
          <w:rFonts w:hint="eastAsia" w:eastAsia="仿宋_GB2312"/>
          <w:bCs/>
          <w:sz w:val="32"/>
          <w:szCs w:val="32"/>
          <w:highlight w:val="none"/>
          <w:lang w:val="en-US" w:eastAsia="zh-CN"/>
        </w:rPr>
        <w:t>）规定缴纳报名费</w:t>
      </w:r>
      <w:r>
        <w:rPr>
          <w:rFonts w:hint="default" w:ascii="Times New Roman" w:hAnsi="Times New Roman" w:eastAsia="仿宋_GB2312" w:cs="Times New Roman"/>
          <w:bCs/>
          <w:sz w:val="32"/>
          <w:szCs w:val="32"/>
          <w:highlight w:val="none"/>
          <w:lang w:val="en-US" w:eastAsia="zh-CN"/>
        </w:rPr>
        <w:t>25元</w:t>
      </w:r>
      <w:r>
        <w:rPr>
          <w:rFonts w:hint="eastAsia" w:eastAsia="仿宋_GB2312"/>
          <w:bCs/>
          <w:sz w:val="32"/>
          <w:szCs w:val="32"/>
          <w:highlight w:val="none"/>
          <w:lang w:val="en-US" w:eastAsia="zh-CN"/>
        </w:rPr>
        <w:t>。</w:t>
      </w:r>
    </w:p>
    <w:p w14:paraId="302976BD">
      <w:pPr>
        <w:pStyle w:val="3"/>
        <w:spacing w:line="560" w:lineRule="exact"/>
        <w:rPr>
          <w:rFonts w:ascii="Times New Roman" w:hAnsi="Times New Roman" w:eastAsia="仿宋_GB2312" w:cs="Times New Roman"/>
          <w:bCs/>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仿宋_GB2312" w:cs="Times New Roman"/>
          <w:bCs/>
          <w:sz w:val="32"/>
          <w:szCs w:val="32"/>
          <w:highlight w:val="none"/>
        </w:rPr>
        <w:t>考生网上报名时要根据工作需要和自己的专长，在符合学校招生报考条件和生源范围的前提下，根据报名网站公布的专升本招生学校和专业，选报一个省内学校及专业志愿，并于</w:t>
      </w:r>
      <w:r>
        <w:rPr>
          <w:rFonts w:hint="eastAsia" w:ascii="Times New Roman" w:hAnsi="Times New Roman" w:eastAsia="仿宋_GB2312" w:cs="Times New Roman"/>
          <w:bCs/>
          <w:sz w:val="32"/>
          <w:szCs w:val="32"/>
          <w:highlight w:val="none"/>
          <w:lang w:eastAsia="zh-CN"/>
        </w:rPr>
        <w:t>2024</w:t>
      </w:r>
      <w:r>
        <w:rPr>
          <w:rFonts w:ascii="Times New Roman" w:hAnsi="Times New Roman" w:eastAsia="仿宋_GB2312" w:cs="Times New Roman"/>
          <w:bCs/>
          <w:sz w:val="32"/>
          <w:szCs w:val="32"/>
          <w:highlight w:val="none"/>
        </w:rPr>
        <w:t>年</w:t>
      </w:r>
      <w:r>
        <w:rPr>
          <w:rFonts w:ascii="Times New Roman" w:hAnsi="Times New Roman" w:eastAsia="仿宋_GB2312" w:cs="Times New Roman"/>
          <w:bCs/>
          <w:sz w:val="32"/>
          <w:szCs w:val="32"/>
          <w:highlight w:val="none"/>
          <w:shd w:val="clear"/>
        </w:rPr>
        <w:t>9月</w:t>
      </w:r>
      <w:r>
        <w:rPr>
          <w:rFonts w:hint="eastAsia" w:ascii="Times New Roman" w:hAnsi="Times New Roman" w:eastAsia="仿宋_GB2312" w:cs="Times New Roman"/>
          <w:bCs/>
          <w:sz w:val="32"/>
          <w:szCs w:val="32"/>
          <w:highlight w:val="none"/>
          <w:shd w:val="clear" w:fill="auto"/>
          <w:lang w:eastAsia="zh-CN"/>
        </w:rPr>
        <w:t>1</w:t>
      </w:r>
      <w:r>
        <w:rPr>
          <w:rFonts w:hint="eastAsia" w:ascii="Times New Roman" w:hAnsi="Times New Roman" w:eastAsia="仿宋_GB2312" w:cs="Times New Roman"/>
          <w:bCs/>
          <w:sz w:val="32"/>
          <w:szCs w:val="32"/>
          <w:highlight w:val="none"/>
          <w:shd w:val="clear" w:fill="auto"/>
          <w:lang w:val="en-US" w:eastAsia="zh-CN"/>
        </w:rPr>
        <w:t>8</w:t>
      </w:r>
      <w:r>
        <w:rPr>
          <w:rFonts w:ascii="Times New Roman" w:hAnsi="Times New Roman" w:eastAsia="仿宋_GB2312" w:cs="Times New Roman"/>
          <w:bCs/>
          <w:sz w:val="32"/>
          <w:szCs w:val="32"/>
          <w:highlight w:val="none"/>
          <w:shd w:val="clear"/>
        </w:rPr>
        <w:t>日9</w:t>
      </w:r>
      <w:r>
        <w:rPr>
          <w:rFonts w:hint="eastAsia" w:ascii="Times New Roman" w:hAnsi="Times New Roman" w:eastAsia="仿宋_GB2312" w:cs="Times New Roman"/>
          <w:bCs/>
          <w:sz w:val="32"/>
          <w:szCs w:val="32"/>
          <w:highlight w:val="none"/>
          <w:shd w:val="clear"/>
          <w:lang w:val="en-US" w:eastAsia="zh-CN"/>
        </w:rPr>
        <w:t>:</w:t>
      </w:r>
      <w:r>
        <w:rPr>
          <w:rFonts w:ascii="Times New Roman" w:hAnsi="Times New Roman" w:eastAsia="仿宋_GB2312" w:cs="Times New Roman"/>
          <w:bCs/>
          <w:sz w:val="32"/>
          <w:szCs w:val="32"/>
          <w:highlight w:val="none"/>
          <w:shd w:val="clear"/>
        </w:rPr>
        <w:t>00至</w:t>
      </w:r>
      <w:r>
        <w:rPr>
          <w:rFonts w:hint="eastAsia" w:ascii="Times New Roman" w:hAnsi="Times New Roman" w:eastAsia="仿宋_GB2312" w:cs="Times New Roman"/>
          <w:bCs/>
          <w:sz w:val="32"/>
          <w:szCs w:val="32"/>
          <w:highlight w:val="none"/>
          <w:shd w:val="clear"/>
          <w:lang w:val="en-US" w:eastAsia="zh-CN"/>
        </w:rPr>
        <w:t>9</w:t>
      </w:r>
      <w:r>
        <w:rPr>
          <w:rFonts w:ascii="Times New Roman" w:hAnsi="Times New Roman" w:eastAsia="仿宋_GB2312" w:cs="Times New Roman"/>
          <w:bCs/>
          <w:sz w:val="32"/>
          <w:szCs w:val="32"/>
          <w:highlight w:val="none"/>
          <w:shd w:val="clear"/>
        </w:rPr>
        <w:t>月</w:t>
      </w:r>
      <w:r>
        <w:rPr>
          <w:rFonts w:hint="eastAsia" w:ascii="Times New Roman" w:hAnsi="Times New Roman" w:eastAsia="仿宋_GB2312" w:cs="Times New Roman"/>
          <w:bCs/>
          <w:sz w:val="32"/>
          <w:szCs w:val="32"/>
          <w:highlight w:val="none"/>
          <w:shd w:val="clear" w:fill="auto"/>
          <w:lang w:eastAsia="zh-CN"/>
        </w:rPr>
        <w:t>2</w:t>
      </w:r>
      <w:r>
        <w:rPr>
          <w:rFonts w:hint="eastAsia" w:ascii="Times New Roman" w:hAnsi="Times New Roman" w:eastAsia="仿宋_GB2312" w:cs="Times New Roman"/>
          <w:bCs/>
          <w:sz w:val="32"/>
          <w:szCs w:val="32"/>
          <w:highlight w:val="none"/>
          <w:shd w:val="clear" w:fill="auto"/>
          <w:lang w:val="en-US" w:eastAsia="zh-CN"/>
        </w:rPr>
        <w:t>2</w:t>
      </w:r>
      <w:r>
        <w:rPr>
          <w:rFonts w:ascii="Times New Roman" w:hAnsi="Times New Roman" w:eastAsia="仿宋_GB2312" w:cs="Times New Roman"/>
          <w:bCs/>
          <w:sz w:val="32"/>
          <w:szCs w:val="32"/>
          <w:highlight w:val="none"/>
          <w:shd w:val="clear"/>
        </w:rPr>
        <w:t>日</w:t>
      </w:r>
      <w:r>
        <w:rPr>
          <w:rFonts w:ascii="Times New Roman" w:hAnsi="Times New Roman" w:eastAsia="仿宋_GB2312" w:cs="Times New Roman"/>
          <w:bCs/>
          <w:sz w:val="32"/>
          <w:szCs w:val="32"/>
          <w:highlight w:val="none"/>
        </w:rPr>
        <w:t>17</w:t>
      </w:r>
      <w:r>
        <w:rPr>
          <w:rFonts w:hint="eastAsia" w:ascii="Times New Roman" w:hAnsi="Times New Roman" w:eastAsia="仿宋_GB2312" w:cs="Times New Roman"/>
          <w:bCs/>
          <w:sz w:val="32"/>
          <w:szCs w:val="32"/>
          <w:highlight w:val="none"/>
          <w:lang w:val="en-US" w:eastAsia="zh-CN"/>
        </w:rPr>
        <w:t>:</w:t>
      </w:r>
      <w:r>
        <w:rPr>
          <w:rFonts w:ascii="Times New Roman" w:hAnsi="Times New Roman" w:eastAsia="仿宋_GB2312" w:cs="Times New Roman"/>
          <w:bCs/>
          <w:sz w:val="32"/>
          <w:szCs w:val="32"/>
          <w:highlight w:val="none"/>
        </w:rPr>
        <w:t>00期间持相关申请资料到网上报名时选择的县（市、区）招生考试机构进行现场确认。</w:t>
      </w:r>
    </w:p>
    <w:p w14:paraId="65DD79A1">
      <w:pPr>
        <w:pStyle w:val="3"/>
        <w:spacing w:line="560" w:lineRule="exact"/>
        <w:rPr>
          <w:rFonts w:hint="eastAsia" w:ascii="楷体_GB2312" w:hAnsi="楷体_GB2312" w:eastAsia="楷体_GB2312" w:cs="楷体_GB2312"/>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方正楷体_GBK" w:cs="Times New Roman"/>
          <w:sz w:val="32"/>
          <w:szCs w:val="32"/>
          <w:highlight w:val="none"/>
        </w:rPr>
        <w:t>（四）</w:t>
      </w:r>
      <w:r>
        <w:rPr>
          <w:rFonts w:hint="eastAsia" w:ascii="楷体_GB2312" w:hAnsi="楷体_GB2312" w:eastAsia="楷体_GB2312" w:cs="楷体_GB2312"/>
          <w:sz w:val="32"/>
          <w:szCs w:val="32"/>
          <w:highlight w:val="none"/>
        </w:rPr>
        <w:t>申请资料</w:t>
      </w:r>
    </w:p>
    <w:p w14:paraId="37480713">
      <w:pPr>
        <w:pStyle w:val="3"/>
        <w:spacing w:line="560" w:lineRule="exact"/>
        <w:rPr>
          <w:rFonts w:ascii="Times New Roman" w:hAnsi="Times New Roman" w:eastAsia="仿宋_GB2312" w:cs="Times New Roman"/>
          <w:bCs/>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仿宋_GB2312" w:cs="Times New Roman"/>
          <w:bCs/>
          <w:sz w:val="32"/>
          <w:szCs w:val="32"/>
          <w:highlight w:val="none"/>
        </w:rPr>
        <w:t>1</w:t>
      </w:r>
      <w:r>
        <w:rPr>
          <w:rFonts w:hint="eastAsia" w:ascii="Times New Roman" w:hAnsi="Times New Roman" w:eastAsia="仿宋_GB2312" w:cs="Times New Roman"/>
          <w:bCs/>
          <w:sz w:val="32"/>
          <w:szCs w:val="32"/>
          <w:highlight w:val="none"/>
          <w:lang w:val="en-US" w:eastAsia="zh-CN"/>
        </w:rPr>
        <w:t>.</w:t>
      </w:r>
      <w:r>
        <w:rPr>
          <w:rFonts w:ascii="Times New Roman" w:hAnsi="Times New Roman" w:eastAsia="仿宋_GB2312" w:cs="Times New Roman"/>
          <w:bCs/>
          <w:sz w:val="32"/>
          <w:szCs w:val="32"/>
          <w:highlight w:val="none"/>
        </w:rPr>
        <w:t>专科毕业退役军人的申请资料（所有资料需附复印件两份）：</w:t>
      </w:r>
    </w:p>
    <w:p w14:paraId="25F495DE">
      <w:pPr>
        <w:pStyle w:val="3"/>
        <w:spacing w:line="560" w:lineRule="exact"/>
        <w:ind w:firstLine="640" w:firstLineChars="200"/>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（1）本人身份证原件。</w:t>
      </w:r>
    </w:p>
    <w:p w14:paraId="25BE85BB">
      <w:pPr>
        <w:pStyle w:val="3"/>
        <w:spacing w:line="560" w:lineRule="exact"/>
        <w:ind w:firstLine="640" w:firstLineChars="200"/>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（2）专科毕业证书、本科结业证书或以上证书。</w:t>
      </w:r>
    </w:p>
    <w:p w14:paraId="75318FEF">
      <w:pPr>
        <w:pStyle w:val="3"/>
        <w:spacing w:line="560" w:lineRule="exact"/>
        <w:ind w:firstLine="640" w:firstLineChars="200"/>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（3）教育部学历证书电子注册备案表或中国高等教育学历认证报告。</w:t>
      </w:r>
    </w:p>
    <w:p w14:paraId="4FB5C6CD">
      <w:pPr>
        <w:pStyle w:val="3"/>
        <w:spacing w:line="560" w:lineRule="exact"/>
        <w:ind w:firstLine="640" w:firstLineChars="200"/>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（4）退役证件的原件（中国人民解放军退出现役证书或义务兵/士官退出现役证、军官转业证书、军官复员证书）。</w:t>
      </w:r>
    </w:p>
    <w:p w14:paraId="57D000AD">
      <w:pPr>
        <w:pStyle w:val="3"/>
        <w:spacing w:line="560" w:lineRule="exact"/>
        <w:ind w:firstLine="640" w:firstLineChars="200"/>
        <w:rPr>
          <w:rFonts w:ascii="Times New Roman" w:hAnsi="Times New Roman" w:eastAsia="方正仿宋_GBK" w:cs="Times New Roman"/>
          <w:sz w:val="32"/>
          <w:szCs w:val="32"/>
          <w:highlight w:val="none"/>
        </w:rPr>
      </w:pPr>
      <w:r>
        <w:rPr>
          <w:rFonts w:ascii="Times New Roman" w:hAnsi="Times New Roman" w:eastAsia="仿宋_GB2312" w:cs="Times New Roman"/>
          <w:bCs/>
          <w:sz w:val="32"/>
          <w:szCs w:val="32"/>
          <w:highlight w:val="none"/>
        </w:rPr>
        <w:t>（5）《四川省</w:t>
      </w:r>
      <w:r>
        <w:rPr>
          <w:rFonts w:hint="eastAsia" w:ascii="Times New Roman" w:hAnsi="Times New Roman" w:eastAsia="仿宋_GB2312" w:cs="Times New Roman"/>
          <w:bCs/>
          <w:sz w:val="32"/>
          <w:szCs w:val="32"/>
          <w:highlight w:val="none"/>
          <w:lang w:eastAsia="zh-CN"/>
        </w:rPr>
        <w:t>2024</w:t>
      </w:r>
      <w:r>
        <w:rPr>
          <w:rFonts w:ascii="Times New Roman" w:hAnsi="Times New Roman" w:eastAsia="仿宋_GB2312" w:cs="Times New Roman"/>
          <w:bCs/>
          <w:sz w:val="32"/>
          <w:szCs w:val="32"/>
          <w:highlight w:val="none"/>
        </w:rPr>
        <w:t>年专科毕业退役军人免试接受成人本科教育申请表》（附表1）。</w:t>
      </w:r>
    </w:p>
    <w:p w14:paraId="7C45E3F5">
      <w:pPr>
        <w:pStyle w:val="3"/>
        <w:spacing w:line="560" w:lineRule="exact"/>
        <w:rPr>
          <w:rFonts w:ascii="Times New Roman" w:hAnsi="Times New Roman" w:eastAsia="仿宋_GB2312" w:cs="Times New Roman"/>
          <w:bCs/>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仿宋_GB2312" w:cs="Times New Roman"/>
          <w:bCs/>
          <w:sz w:val="32"/>
          <w:szCs w:val="32"/>
          <w:highlight w:val="none"/>
        </w:rPr>
        <w:t>　2</w:t>
      </w:r>
      <w:r>
        <w:rPr>
          <w:rFonts w:hint="eastAsia" w:ascii="Times New Roman" w:hAnsi="Times New Roman" w:eastAsia="仿宋_GB2312" w:cs="Times New Roman"/>
          <w:bCs/>
          <w:sz w:val="32"/>
          <w:szCs w:val="32"/>
          <w:highlight w:val="none"/>
          <w:lang w:val="en-US" w:eastAsia="zh-CN"/>
        </w:rPr>
        <w:t>.</w:t>
      </w:r>
      <w:r>
        <w:rPr>
          <w:rFonts w:ascii="Times New Roman" w:hAnsi="Times New Roman" w:eastAsia="仿宋_GB2312" w:cs="Times New Roman"/>
          <w:bCs/>
          <w:sz w:val="32"/>
          <w:szCs w:val="32"/>
          <w:highlight w:val="none"/>
        </w:rPr>
        <w:t>“下基层”人员的申请资料（所有资料需附复印件两份）：</w:t>
      </w:r>
    </w:p>
    <w:p w14:paraId="31790187">
      <w:pPr>
        <w:pStyle w:val="3"/>
        <w:spacing w:line="560" w:lineRule="exact"/>
        <w:rPr>
          <w:rFonts w:ascii="Times New Roman" w:hAnsi="Times New Roman" w:eastAsia="仿宋_GB2312" w:cs="Times New Roman"/>
          <w:bCs/>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仿宋_GB2312" w:cs="Times New Roman"/>
          <w:bCs/>
          <w:sz w:val="32"/>
          <w:szCs w:val="32"/>
          <w:highlight w:val="none"/>
        </w:rPr>
        <w:t>（1）本人身份证原件。</w:t>
      </w:r>
    </w:p>
    <w:p w14:paraId="565B0367">
      <w:pPr>
        <w:pStyle w:val="3"/>
        <w:spacing w:line="560" w:lineRule="exact"/>
        <w:rPr>
          <w:rFonts w:ascii="Times New Roman" w:hAnsi="Times New Roman" w:eastAsia="仿宋_GB2312" w:cs="Times New Roman"/>
          <w:bCs/>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仿宋_GB2312" w:cs="Times New Roman"/>
          <w:bCs/>
          <w:sz w:val="32"/>
          <w:szCs w:val="32"/>
          <w:highlight w:val="none"/>
        </w:rPr>
        <w:t>（2）普通高职（专科）毕业证书、本科结业证书或以上证书。</w:t>
      </w:r>
    </w:p>
    <w:p w14:paraId="55620176">
      <w:pPr>
        <w:pStyle w:val="3"/>
        <w:spacing w:line="560" w:lineRule="exact"/>
        <w:rPr>
          <w:rFonts w:ascii="Times New Roman" w:hAnsi="Times New Roman" w:eastAsia="仿宋_GB2312" w:cs="Times New Roman"/>
          <w:bCs/>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仿宋_GB2312" w:cs="Times New Roman"/>
          <w:bCs/>
          <w:sz w:val="32"/>
          <w:szCs w:val="32"/>
          <w:highlight w:val="none"/>
        </w:rPr>
        <w:t>（3）教育部学历证书电子注册备案表或中国高等教育学历认证报告。</w:t>
      </w:r>
    </w:p>
    <w:p w14:paraId="0E06730D">
      <w:pPr>
        <w:pStyle w:val="3"/>
        <w:spacing w:line="560" w:lineRule="exact"/>
        <w:rPr>
          <w:rFonts w:ascii="Times New Roman" w:hAnsi="Times New Roman" w:eastAsia="方正仿宋_GBK" w:cs="Times New Roman"/>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仿宋_GB2312" w:cs="Times New Roman"/>
          <w:bCs/>
          <w:sz w:val="32"/>
          <w:szCs w:val="32"/>
          <w:highlight w:val="none"/>
        </w:rPr>
        <w:t>（4）服务期满后考核合格的证件原件或相应年度的考核合格表复印件。“下基层”服务项目及合格证书颁发部门见《普通高职（专科）毕业生“下基层”服务项目一览表》（附表3）</w:t>
      </w:r>
    </w:p>
    <w:p w14:paraId="2ABB4C9D">
      <w:pPr>
        <w:pStyle w:val="3"/>
        <w:spacing w:line="560" w:lineRule="exact"/>
        <w:rPr>
          <w:rFonts w:ascii="Times New Roman" w:hAnsi="Times New Roman" w:eastAsia="仿宋_GB2312" w:cs="Times New Roman"/>
          <w:bCs/>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仿宋_GB2312" w:cs="Times New Roman"/>
          <w:bCs/>
          <w:sz w:val="32"/>
          <w:szCs w:val="32"/>
          <w:highlight w:val="none"/>
        </w:rPr>
        <w:t>（5）《四川省</w:t>
      </w:r>
      <w:r>
        <w:rPr>
          <w:rFonts w:hint="eastAsia" w:ascii="Times New Roman" w:hAnsi="Times New Roman" w:eastAsia="仿宋_GB2312" w:cs="Times New Roman"/>
          <w:bCs/>
          <w:sz w:val="32"/>
          <w:szCs w:val="32"/>
          <w:highlight w:val="none"/>
          <w:lang w:eastAsia="zh-CN"/>
        </w:rPr>
        <w:t>2024</w:t>
      </w:r>
      <w:r>
        <w:rPr>
          <w:rFonts w:ascii="Times New Roman" w:hAnsi="Times New Roman" w:eastAsia="仿宋_GB2312" w:cs="Times New Roman"/>
          <w:bCs/>
          <w:sz w:val="32"/>
          <w:szCs w:val="32"/>
          <w:highlight w:val="none"/>
        </w:rPr>
        <w:t>年普通高职（专科）毕业生“下基层”服务期满后免试接受成人本科教育申请表》（附表2）。</w:t>
      </w:r>
    </w:p>
    <w:p w14:paraId="629D1ABA">
      <w:pPr>
        <w:pStyle w:val="3"/>
        <w:spacing w:line="560" w:lineRule="exact"/>
        <w:ind w:firstLine="640"/>
        <w:rPr>
          <w:rFonts w:ascii="Times New Roman" w:hAnsi="Times New Roman" w:eastAsia="方正楷体_GBK" w:cs="Times New Roman"/>
          <w:sz w:val="32"/>
          <w:szCs w:val="32"/>
          <w:highlight w:val="none"/>
        </w:rPr>
      </w:pPr>
      <w:r>
        <w:rPr>
          <w:rFonts w:ascii="Times New Roman" w:hAnsi="Times New Roman" w:eastAsia="方正楷体_GBK" w:cs="Times New Roman"/>
          <w:sz w:val="32"/>
          <w:szCs w:val="32"/>
          <w:highlight w:val="none"/>
        </w:rPr>
        <w:t>（五）</w:t>
      </w:r>
      <w:r>
        <w:rPr>
          <w:rFonts w:hint="eastAsia" w:ascii="楷体_GB2312" w:hAnsi="楷体_GB2312" w:eastAsia="楷体_GB2312" w:cs="楷体_GB2312"/>
          <w:sz w:val="32"/>
          <w:szCs w:val="32"/>
          <w:highlight w:val="none"/>
        </w:rPr>
        <w:t>现场确认和材料报送</w:t>
      </w:r>
    </w:p>
    <w:p w14:paraId="699B858C">
      <w:pPr>
        <w:pStyle w:val="3"/>
        <w:spacing w:line="560" w:lineRule="exact"/>
        <w:ind w:firstLine="640" w:firstLineChars="200"/>
        <w:rPr>
          <w:rFonts w:ascii="Times New Roman" w:hAnsi="Times New Roman" w:eastAsia="仿宋_GB2312" w:cs="Times New Roman"/>
          <w:bCs/>
          <w:sz w:val="32"/>
          <w:szCs w:val="32"/>
          <w:highlight w:val="none"/>
        </w:rPr>
      </w:pPr>
      <w:r>
        <w:rPr>
          <w:rFonts w:hint="eastAsia" w:ascii="Times New Roman" w:hAnsi="Times New Roman" w:eastAsia="仿宋_GB2312" w:cs="Times New Roman"/>
          <w:bCs/>
          <w:sz w:val="32"/>
          <w:szCs w:val="32"/>
          <w:highlight w:val="none"/>
        </w:rPr>
        <w:t>专科毕业退役军人和普通高职（专科）毕业生“下基层”服务期满后免试接受成人本科教育考生现场确认时，由县（市、区）招生考试机构当场审核考生的申请资料。考生的申请资料不符合免试条件的，考生本人可当即书面申请由免试生转为考试生，县（市、区）招生考试机构同意考生转报后，工作人员修改考生报名号、考生类别等信息后重新导入大数据平台，并按考试生收费标准让考生现场补交</w:t>
      </w:r>
      <w:r>
        <w:rPr>
          <w:rFonts w:ascii="Times New Roman" w:hAnsi="Times New Roman" w:eastAsia="仿宋_GB2312" w:cs="Times New Roman"/>
          <w:bCs/>
          <w:sz w:val="32"/>
          <w:szCs w:val="32"/>
          <w:highlight w:val="none"/>
        </w:rPr>
        <w:t>105元报名费。</w:t>
      </w:r>
    </w:p>
    <w:p w14:paraId="4AE6C26F">
      <w:pPr>
        <w:pStyle w:val="2"/>
        <w:spacing w:line="560" w:lineRule="exact"/>
        <w:rPr>
          <w:rFonts w:hint="eastAsia" w:ascii="Times New Roman" w:hAnsi="Times New Roman" w:eastAsia="仿宋_GB2312" w:cs="Times New Roman"/>
          <w:bCs/>
          <w:sz w:val="32"/>
          <w:szCs w:val="32"/>
          <w:highlight w:val="none"/>
          <w:lang w:eastAsia="zh-CN"/>
        </w:rPr>
      </w:pPr>
      <w:r>
        <w:rPr>
          <w:rFonts w:ascii="Times New Roman" w:hAnsi="Times New Roman" w:eastAsia="仿宋_GB2312" w:cs="Times New Roman"/>
          <w:bCs/>
          <w:sz w:val="32"/>
          <w:szCs w:val="32"/>
          <w:highlight w:val="none"/>
        </w:rPr>
        <w:t>县（市、区）招生考试机构验证考生申请资料及基础信息，并采集指纹和面颊特征信息。考生使用电子设备扫描报名信息确认二维码，按提示认真核对报名信息和照片信息，核对无误后，在该设备上进行电子签名确认。考生签名确认无误后，县（市、区）招生考试机构打印出《考生登记表》交由考生本人核验和留存。若考生核验时发现错误，应当场更正并重新打印。签字确认后，因信息错误造成的一切后果和责任由考生自行承担。未经考生本人签字确认，考生的报名无效</w:t>
      </w:r>
      <w:r>
        <w:rPr>
          <w:rFonts w:hint="eastAsia" w:ascii="Times New Roman" w:hAnsi="Times New Roman" w:eastAsia="仿宋_GB2312" w:cs="Times New Roman"/>
          <w:bCs/>
          <w:sz w:val="32"/>
          <w:szCs w:val="32"/>
          <w:highlight w:val="none"/>
          <w:lang w:eastAsia="zh-CN"/>
        </w:rPr>
        <w:t>。</w:t>
      </w:r>
    </w:p>
    <w:p w14:paraId="5BCA5500">
      <w:pPr>
        <w:pStyle w:val="3"/>
        <w:spacing w:line="560" w:lineRule="exact"/>
        <w:rPr>
          <w:rFonts w:ascii="Times New Roman" w:hAnsi="Times New Roman" w:eastAsia="方正仿宋_GBK" w:cs="Times New Roman"/>
          <w:spacing w:val="6"/>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仿宋_GB2312" w:cs="Times New Roman"/>
          <w:bCs/>
          <w:sz w:val="32"/>
          <w:szCs w:val="32"/>
          <w:highlight w:val="none"/>
        </w:rPr>
        <w:t>县（市、区）招生考试机构要对报名考生的免试专升本申请资料进行审核，审核合格后，在复印件上签字盖章，将考生全套申请资料装订成册，一套留存备查，一套由市（州）招生考试机构收齐后于</w:t>
      </w:r>
      <w:r>
        <w:rPr>
          <w:rFonts w:hint="eastAsia" w:ascii="Times New Roman" w:hAnsi="Times New Roman" w:eastAsia="仿宋_GB2312" w:cs="Times New Roman"/>
          <w:bCs/>
          <w:sz w:val="32"/>
          <w:szCs w:val="32"/>
          <w:highlight w:val="none"/>
          <w:lang w:eastAsia="zh-CN"/>
        </w:rPr>
        <w:t>2024</w:t>
      </w:r>
      <w:r>
        <w:rPr>
          <w:rFonts w:ascii="Times New Roman" w:hAnsi="Times New Roman" w:eastAsia="仿宋_GB2312" w:cs="Times New Roman"/>
          <w:bCs/>
          <w:sz w:val="32"/>
          <w:szCs w:val="32"/>
          <w:highlight w:val="none"/>
        </w:rPr>
        <w:t>年9月</w:t>
      </w:r>
      <w:r>
        <w:rPr>
          <w:rFonts w:hint="eastAsia" w:ascii="Times New Roman" w:hAnsi="Times New Roman" w:eastAsia="仿宋_GB2312" w:cs="Times New Roman"/>
          <w:bCs/>
          <w:sz w:val="32"/>
          <w:szCs w:val="32"/>
          <w:highlight w:val="none"/>
          <w:lang w:val="en-US" w:eastAsia="zh-CN"/>
        </w:rPr>
        <w:t>26</w:t>
      </w:r>
      <w:r>
        <w:rPr>
          <w:rFonts w:ascii="Times New Roman" w:hAnsi="Times New Roman" w:eastAsia="仿宋_GB2312" w:cs="Times New Roman"/>
          <w:bCs/>
          <w:sz w:val="32"/>
          <w:szCs w:val="32"/>
          <w:highlight w:val="none"/>
        </w:rPr>
        <w:t>日前送交（寄）省教育考试院。</w:t>
      </w:r>
    </w:p>
    <w:p w14:paraId="0BCE3D16">
      <w:pPr>
        <w:pStyle w:val="3"/>
        <w:spacing w:line="560" w:lineRule="exact"/>
        <w:rPr>
          <w:rFonts w:ascii="Times New Roman" w:hAnsi="Times New Roman" w:eastAsia="仿宋_GB2312" w:cs="Times New Roman"/>
          <w:bCs/>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仿宋_GB2312" w:cs="Times New Roman"/>
          <w:bCs/>
          <w:sz w:val="32"/>
          <w:szCs w:val="32"/>
          <w:highlight w:val="none"/>
        </w:rPr>
        <w:t>县（市、区）招生考试机构按照《四川省</w:t>
      </w:r>
      <w:r>
        <w:rPr>
          <w:rFonts w:hint="eastAsia" w:ascii="Times New Roman" w:hAnsi="Times New Roman" w:eastAsia="仿宋_GB2312" w:cs="Times New Roman"/>
          <w:bCs/>
          <w:sz w:val="32"/>
          <w:szCs w:val="32"/>
          <w:highlight w:val="none"/>
          <w:lang w:eastAsia="zh-CN"/>
        </w:rPr>
        <w:t>2024</w:t>
      </w:r>
      <w:r>
        <w:rPr>
          <w:rFonts w:ascii="Times New Roman" w:hAnsi="Times New Roman" w:eastAsia="仿宋_GB2312" w:cs="Times New Roman"/>
          <w:bCs/>
          <w:sz w:val="32"/>
          <w:szCs w:val="32"/>
          <w:highlight w:val="none"/>
        </w:rPr>
        <w:t>年全国成人高校招生考务工作细则》的规定为考生编定考生号，报名顺序号在本县（市、区）今年已报名的专升本考生报名顺序号后依次连续编排。</w:t>
      </w:r>
    </w:p>
    <w:p w14:paraId="5C9739AD">
      <w:pPr>
        <w:pStyle w:val="3"/>
        <w:spacing w:line="560" w:lineRule="exact"/>
        <w:rPr>
          <w:rFonts w:ascii="Times New Roman" w:hAnsi="Times New Roman" w:eastAsia="方正仿宋_GBK" w:cs="Times New Roman"/>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仿宋_GB2312" w:cs="Times New Roman"/>
          <w:bCs/>
          <w:sz w:val="32"/>
          <w:szCs w:val="32"/>
          <w:highlight w:val="none"/>
        </w:rPr>
        <w:t>各市（州）将考生所有报名信息整理、核实完毕后，于</w:t>
      </w:r>
      <w:r>
        <w:rPr>
          <w:rFonts w:hint="eastAsia" w:ascii="Times New Roman" w:hAnsi="Times New Roman" w:eastAsia="仿宋_GB2312" w:cs="Times New Roman"/>
          <w:bCs/>
          <w:sz w:val="32"/>
          <w:szCs w:val="32"/>
          <w:highlight w:val="none"/>
          <w:lang w:eastAsia="zh-CN"/>
        </w:rPr>
        <w:t>2024</w:t>
      </w:r>
      <w:r>
        <w:rPr>
          <w:rFonts w:ascii="Times New Roman" w:hAnsi="Times New Roman" w:eastAsia="仿宋_GB2312" w:cs="Times New Roman"/>
          <w:bCs/>
          <w:sz w:val="32"/>
          <w:szCs w:val="32"/>
          <w:highlight w:val="none"/>
        </w:rPr>
        <w:t>年9月</w:t>
      </w:r>
      <w:r>
        <w:rPr>
          <w:rFonts w:hint="eastAsia" w:ascii="Times New Roman" w:hAnsi="Times New Roman" w:eastAsia="仿宋_GB2312" w:cs="Times New Roman"/>
          <w:bCs/>
          <w:sz w:val="32"/>
          <w:szCs w:val="32"/>
          <w:highlight w:val="none"/>
          <w:lang w:val="en-US" w:eastAsia="zh-CN"/>
        </w:rPr>
        <w:t>26</w:t>
      </w:r>
      <w:r>
        <w:rPr>
          <w:rFonts w:ascii="Times New Roman" w:hAnsi="Times New Roman" w:eastAsia="仿宋_GB2312" w:cs="Times New Roman"/>
          <w:bCs/>
          <w:sz w:val="32"/>
          <w:szCs w:val="32"/>
          <w:highlight w:val="none"/>
        </w:rPr>
        <w:t>日</w:t>
      </w:r>
      <w:r>
        <w:rPr>
          <w:rFonts w:hint="eastAsia" w:ascii="Times New Roman" w:hAnsi="Times New Roman" w:eastAsia="仿宋_GB2312" w:cs="Times New Roman"/>
          <w:bCs/>
          <w:sz w:val="32"/>
          <w:szCs w:val="32"/>
          <w:highlight w:val="none"/>
          <w:lang w:val="en-US" w:eastAsia="zh-CN"/>
        </w:rPr>
        <w:t>报送</w:t>
      </w:r>
      <w:r>
        <w:rPr>
          <w:rFonts w:ascii="Times New Roman" w:hAnsi="Times New Roman" w:eastAsia="仿宋_GB2312" w:cs="Times New Roman"/>
          <w:bCs/>
          <w:sz w:val="32"/>
          <w:szCs w:val="32"/>
          <w:highlight w:val="none"/>
        </w:rPr>
        <w:t>省教育考试院信息技术处。</w:t>
      </w:r>
    </w:p>
    <w:p w14:paraId="64F169BD">
      <w:pPr>
        <w:pStyle w:val="3"/>
        <w:spacing w:line="560" w:lineRule="exact"/>
        <w:rPr>
          <w:rFonts w:ascii="Times New Roman" w:hAnsi="Times New Roman" w:eastAsia="黑体" w:cs="Times New Roman"/>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黑体" w:cs="Times New Roman"/>
          <w:sz w:val="32"/>
          <w:szCs w:val="32"/>
          <w:highlight w:val="none"/>
        </w:rPr>
        <w:t>四、录取</w:t>
      </w:r>
    </w:p>
    <w:p w14:paraId="493C31BE">
      <w:pPr>
        <w:pStyle w:val="3"/>
        <w:spacing w:line="560" w:lineRule="exact"/>
        <w:rPr>
          <w:rFonts w:ascii="Times New Roman" w:hAnsi="Times New Roman" w:eastAsia="方正仿宋_GBK" w:cs="Times New Roman"/>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仿宋_GB2312" w:cs="Times New Roman"/>
          <w:bCs/>
          <w:sz w:val="32"/>
          <w:szCs w:val="32"/>
          <w:highlight w:val="none"/>
        </w:rPr>
        <w:t>录取新生工作按照“学校负责、招办监督”的要求，在省招考委的统一领导和组织下，由省教育考试院组织实施。</w:t>
      </w:r>
    </w:p>
    <w:p w14:paraId="4D4EED35">
      <w:pPr>
        <w:pStyle w:val="3"/>
        <w:spacing w:line="560" w:lineRule="exact"/>
        <w:rPr>
          <w:rFonts w:hint="default" w:ascii="Times New Roman" w:hAnsi="Times New Roman" w:eastAsia="仿宋_GB2312" w:cs="Times New Roman"/>
          <w:bCs/>
          <w:sz w:val="32"/>
          <w:szCs w:val="32"/>
          <w:highlight w:val="none"/>
          <w:lang w:val="en-US" w:eastAsia="zh-CN"/>
        </w:rPr>
      </w:pPr>
      <w:r>
        <w:rPr>
          <w:rFonts w:ascii="Times New Roman" w:hAnsi="Times New Roman" w:eastAsia="方正仿宋_GBK" w:cs="Times New Roman"/>
          <w:sz w:val="32"/>
          <w:szCs w:val="32"/>
          <w:highlight w:val="none"/>
        </w:rPr>
        <w:t>　　</w:t>
      </w:r>
      <w:r>
        <w:rPr>
          <w:rFonts w:hint="default" w:ascii="Times New Roman" w:hAnsi="Times New Roman" w:eastAsia="仿宋_GB2312" w:cs="Times New Roman"/>
          <w:bCs/>
          <w:sz w:val="32"/>
          <w:szCs w:val="32"/>
          <w:highlight w:val="none"/>
          <w:lang w:val="en-US" w:eastAsia="zh-CN"/>
        </w:rPr>
        <w:t>省教育考试院核准</w:t>
      </w:r>
      <w:r>
        <w:rPr>
          <w:rFonts w:hint="eastAsia" w:ascii="Times New Roman" w:hAnsi="Times New Roman" w:eastAsia="仿宋_GB2312" w:cs="Times New Roman"/>
          <w:bCs/>
          <w:sz w:val="32"/>
          <w:szCs w:val="32"/>
          <w:highlight w:val="none"/>
          <w:lang w:val="en-US" w:eastAsia="zh-CN"/>
        </w:rPr>
        <w:t>录取信息</w:t>
      </w:r>
      <w:r>
        <w:rPr>
          <w:rFonts w:hint="default" w:ascii="Times New Roman" w:hAnsi="Times New Roman" w:eastAsia="仿宋_GB2312" w:cs="Times New Roman"/>
          <w:bCs/>
          <w:sz w:val="32"/>
          <w:szCs w:val="32"/>
          <w:highlight w:val="none"/>
          <w:lang w:val="en-US" w:eastAsia="zh-CN"/>
        </w:rPr>
        <w:t>后</w:t>
      </w:r>
      <w:r>
        <w:rPr>
          <w:rFonts w:hint="eastAsia" w:ascii="Times New Roman" w:hAnsi="Times New Roman" w:eastAsia="仿宋_GB2312" w:cs="Times New Roman"/>
          <w:bCs/>
          <w:sz w:val="32"/>
          <w:szCs w:val="32"/>
          <w:highlight w:val="none"/>
          <w:lang w:val="en-US" w:eastAsia="zh-CN"/>
        </w:rPr>
        <w:t>，</w:t>
      </w:r>
      <w:r>
        <w:rPr>
          <w:rFonts w:hint="default" w:ascii="Times New Roman" w:hAnsi="Times New Roman" w:eastAsia="仿宋_GB2312" w:cs="Times New Roman"/>
          <w:bCs/>
          <w:sz w:val="32"/>
          <w:szCs w:val="32"/>
          <w:highlight w:val="none"/>
          <w:lang w:val="en-US" w:eastAsia="zh-CN"/>
        </w:rPr>
        <w:t>形成录取考生数据库，并据此生成考生电子录取名册，作为考生正式录取依据。录取结束后，</w:t>
      </w:r>
      <w:r>
        <w:rPr>
          <w:rFonts w:hint="eastAsia" w:ascii="Times New Roman" w:hAnsi="Times New Roman" w:eastAsia="仿宋_GB2312" w:cs="Times New Roman"/>
          <w:bCs/>
          <w:sz w:val="32"/>
          <w:szCs w:val="32"/>
          <w:highlight w:val="none"/>
          <w:lang w:val="en-US" w:eastAsia="zh-CN"/>
        </w:rPr>
        <w:t>成人</w:t>
      </w:r>
      <w:r>
        <w:rPr>
          <w:rFonts w:hint="default" w:ascii="Times New Roman" w:hAnsi="Times New Roman" w:eastAsia="仿宋_GB2312" w:cs="Times New Roman"/>
          <w:bCs/>
          <w:sz w:val="32"/>
          <w:szCs w:val="32"/>
          <w:highlight w:val="none"/>
          <w:lang w:val="en-US" w:eastAsia="zh-CN"/>
        </w:rPr>
        <w:t>高校通过四川省成人高考录取电子名册管理系统下载考生电子录取名册。</w:t>
      </w:r>
      <w:r>
        <w:rPr>
          <w:rFonts w:ascii="Times New Roman" w:hAnsi="Times New Roman" w:eastAsia="仿宋_GB2312" w:cs="Times New Roman"/>
          <w:bCs/>
          <w:sz w:val="32"/>
          <w:szCs w:val="32"/>
          <w:highlight w:val="none"/>
        </w:rPr>
        <w:t>成人高校根据省教育考试院核准备案的录取新生名册填写新生录取通知书，加盖本校校章后按规定直接寄送给考生本人。</w:t>
      </w:r>
      <w:r>
        <w:rPr>
          <w:rFonts w:hint="eastAsia" w:ascii="Times New Roman" w:hAnsi="Times New Roman" w:eastAsia="仿宋_GB2312" w:cs="Times New Roman"/>
          <w:bCs/>
          <w:sz w:val="32"/>
          <w:szCs w:val="32"/>
          <w:highlight w:val="none"/>
          <w:lang w:val="en-US" w:eastAsia="zh-CN"/>
        </w:rPr>
        <w:t>录取通知书寄递工作要按照教育部、国家邮政局有关工作要求执行。</w:t>
      </w:r>
    </w:p>
    <w:p w14:paraId="1A113354">
      <w:pPr>
        <w:pStyle w:val="3"/>
        <w:spacing w:line="560" w:lineRule="exact"/>
        <w:rPr>
          <w:rFonts w:ascii="Times New Roman" w:hAnsi="Times New Roman" w:eastAsia="方正黑体_GBK" w:cs="Times New Roman"/>
          <w:sz w:val="32"/>
          <w:szCs w:val="32"/>
          <w:highlight w:val="none"/>
        </w:rPr>
      </w:pPr>
      <w:r>
        <w:rPr>
          <w:rFonts w:ascii="Times New Roman" w:hAnsi="Times New Roman" w:eastAsia="方正仿宋_GBK" w:cs="Times New Roman"/>
          <w:sz w:val="32"/>
          <w:szCs w:val="32"/>
          <w:highlight w:val="none"/>
        </w:rPr>
        <w:t>　</w:t>
      </w:r>
      <w:r>
        <w:rPr>
          <w:rFonts w:hint="eastAsia" w:ascii="Times New Roman" w:hAnsi="Times New Roman" w:eastAsia="黑体" w:cs="Times New Roman"/>
          <w:sz w:val="32"/>
          <w:szCs w:val="32"/>
          <w:highlight w:val="none"/>
        </w:rPr>
        <w:t>　五、违规处理办法</w:t>
      </w:r>
    </w:p>
    <w:p w14:paraId="534A0EE0">
      <w:pPr>
        <w:pStyle w:val="3"/>
        <w:spacing w:line="560" w:lineRule="exact"/>
        <w:rPr>
          <w:rFonts w:ascii="Times New Roman" w:hAnsi="Times New Roman" w:eastAsia="仿宋_GB2312" w:cs="Times New Roman"/>
          <w:bCs/>
          <w:sz w:val="32"/>
          <w:szCs w:val="32"/>
          <w:highlight w:val="none"/>
        </w:rPr>
      </w:pPr>
      <w:r>
        <w:rPr>
          <w:rFonts w:ascii="Times New Roman" w:hAnsi="Times New Roman" w:eastAsia="方正仿宋_GBK" w:cs="Times New Roman"/>
          <w:sz w:val="32"/>
          <w:szCs w:val="32"/>
          <w:highlight w:val="none"/>
        </w:rPr>
        <w:t>　　</w:t>
      </w:r>
      <w:r>
        <w:rPr>
          <w:rFonts w:ascii="Times New Roman" w:hAnsi="Times New Roman" w:eastAsia="仿宋_GB2312" w:cs="Times New Roman"/>
          <w:bCs/>
          <w:sz w:val="32"/>
          <w:szCs w:val="32"/>
          <w:highlight w:val="none"/>
        </w:rPr>
        <w:t>省教育考试院及相关成人高校要建立网络、电话、信函三位一体的举报申诉工作平台，确保对群众举报和申诉及时受理、调查、处理和回应。对于在报名、材料审核中的违规行为，将严格按照《国家教育考试违规处理办法》（教育部令第33号）严肃处理。对违反招生规定的单位和个人，参照《普通高等学校招生违规处理暂行办法》（教育部令第36号）严肃处理，并对有关责任人依纪依规追责问责。</w:t>
      </w:r>
    </w:p>
    <w:p w14:paraId="03D7DA76">
      <w:pPr>
        <w:pStyle w:val="3"/>
        <w:spacing w:line="560" w:lineRule="exact"/>
        <w:ind w:firstLine="645"/>
        <w:rPr>
          <w:rFonts w:ascii="Times New Roman" w:hAnsi="Times New Roman" w:eastAsia="方正仿宋_GBK" w:cs="Times New Roman"/>
          <w:sz w:val="32"/>
          <w:szCs w:val="32"/>
          <w:highlight w:val="none"/>
        </w:rPr>
      </w:pPr>
      <w:r>
        <w:rPr>
          <w:rFonts w:ascii="Times New Roman" w:hAnsi="Times New Roman" w:eastAsia="仿宋_GB2312" w:cs="Times New Roman"/>
          <w:bCs/>
          <w:sz w:val="32"/>
          <w:szCs w:val="32"/>
          <w:highlight w:val="none"/>
        </w:rPr>
        <w:t>各地、各高校要按照教育部和全省的统一部署，精心组织，周密实施，按时完成各项工作，确保四川省</w:t>
      </w:r>
      <w:r>
        <w:rPr>
          <w:rFonts w:hint="eastAsia" w:ascii="Times New Roman" w:hAnsi="Times New Roman" w:eastAsia="仿宋_GB2312" w:cs="Times New Roman"/>
          <w:bCs/>
          <w:sz w:val="32"/>
          <w:szCs w:val="32"/>
          <w:highlight w:val="none"/>
          <w:lang w:eastAsia="zh-CN"/>
        </w:rPr>
        <w:t>2024</w:t>
      </w:r>
      <w:r>
        <w:rPr>
          <w:rFonts w:ascii="Times New Roman" w:hAnsi="Times New Roman" w:eastAsia="仿宋_GB2312" w:cs="Times New Roman"/>
          <w:bCs/>
          <w:sz w:val="32"/>
          <w:szCs w:val="32"/>
          <w:highlight w:val="none"/>
        </w:rPr>
        <w:t>年专科毕业退役军人和普通高职（专科）毕业生“下基层”服务期满后免试接受成人本科教育招生工作圆满完成。</w:t>
      </w:r>
    </w:p>
    <w:p w14:paraId="0AB23898">
      <w:pPr>
        <w:pStyle w:val="3"/>
        <w:spacing w:line="560" w:lineRule="exact"/>
        <w:rPr>
          <w:rFonts w:ascii="Times New Roman" w:hAnsi="Times New Roman" w:eastAsia="方正仿宋_GBK" w:cs="Times New Roman"/>
          <w:sz w:val="32"/>
          <w:szCs w:val="32"/>
          <w:highlight w:val="none"/>
        </w:rPr>
      </w:pPr>
    </w:p>
    <w:p w14:paraId="7068A863">
      <w:pPr>
        <w:pStyle w:val="3"/>
        <w:spacing w:line="560" w:lineRule="exact"/>
        <w:ind w:left="2078" w:leftChars="304" w:hanging="1440" w:hangingChars="450"/>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附表：1.四川省</w:t>
      </w:r>
      <w:r>
        <w:rPr>
          <w:rFonts w:hint="eastAsia" w:ascii="Times New Roman" w:hAnsi="Times New Roman" w:eastAsia="仿宋_GB2312" w:cs="Times New Roman"/>
          <w:bCs/>
          <w:sz w:val="32"/>
          <w:szCs w:val="32"/>
          <w:highlight w:val="none"/>
          <w:lang w:eastAsia="zh-CN"/>
        </w:rPr>
        <w:t>2024</w:t>
      </w:r>
      <w:r>
        <w:rPr>
          <w:rFonts w:ascii="Times New Roman" w:hAnsi="Times New Roman" w:eastAsia="仿宋_GB2312" w:cs="Times New Roman"/>
          <w:bCs/>
          <w:sz w:val="32"/>
          <w:szCs w:val="32"/>
          <w:highlight w:val="none"/>
        </w:rPr>
        <w:t>年专科毕业退役军人免试接受成人本</w:t>
      </w:r>
    </w:p>
    <w:p w14:paraId="41E120A1">
      <w:pPr>
        <w:pStyle w:val="3"/>
        <w:spacing w:line="560" w:lineRule="exact"/>
        <w:ind w:left="2075" w:leftChars="912" w:hanging="160" w:hangingChars="50"/>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科教育申请表</w:t>
      </w:r>
    </w:p>
    <w:p w14:paraId="5D27577E">
      <w:pPr>
        <w:pStyle w:val="3"/>
        <w:spacing w:line="560" w:lineRule="exact"/>
        <w:ind w:left="1916" w:leftChars="760" w:hanging="320" w:hangingChars="100"/>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2.四川省</w:t>
      </w:r>
      <w:r>
        <w:rPr>
          <w:rFonts w:hint="eastAsia" w:ascii="Times New Roman" w:hAnsi="Times New Roman" w:eastAsia="仿宋_GB2312" w:cs="Times New Roman"/>
          <w:bCs/>
          <w:sz w:val="32"/>
          <w:szCs w:val="32"/>
          <w:highlight w:val="none"/>
          <w:lang w:eastAsia="zh-CN"/>
        </w:rPr>
        <w:t>2024</w:t>
      </w:r>
      <w:r>
        <w:rPr>
          <w:rFonts w:ascii="Times New Roman" w:hAnsi="Times New Roman" w:eastAsia="仿宋_GB2312" w:cs="Times New Roman"/>
          <w:bCs/>
          <w:sz w:val="32"/>
          <w:szCs w:val="32"/>
          <w:highlight w:val="none"/>
        </w:rPr>
        <w:t>年普通高职（专科）毕业生“下基层”服务期满后免试接受成人本科教育申请表</w:t>
      </w:r>
    </w:p>
    <w:p w14:paraId="580F3FE0">
      <w:pPr>
        <w:pStyle w:val="3"/>
        <w:spacing w:line="560" w:lineRule="exact"/>
        <w:ind w:left="1916" w:leftChars="760" w:hanging="320" w:hangingChars="100"/>
        <w:rPr>
          <w:rFonts w:ascii="Times New Roman" w:hAnsi="Times New Roman" w:eastAsia="方正仿宋_GBK" w:cs="Times New Roman"/>
          <w:sz w:val="32"/>
          <w:szCs w:val="32"/>
          <w:highlight w:val="none"/>
        </w:rPr>
      </w:pPr>
      <w:r>
        <w:rPr>
          <w:rFonts w:ascii="Times New Roman" w:hAnsi="Times New Roman" w:eastAsia="仿宋_GB2312" w:cs="Times New Roman"/>
          <w:bCs/>
          <w:sz w:val="32"/>
          <w:szCs w:val="32"/>
          <w:highlight w:val="none"/>
        </w:rPr>
        <w:t>3.普通高职（专科）毕业生“下基层”服务项目一览表</w:t>
      </w:r>
    </w:p>
    <w:p w14:paraId="44EDF45E">
      <w:pPr>
        <w:widowControl/>
        <w:jc w:val="left"/>
        <w:rPr>
          <w:rFonts w:ascii="Times New Roman" w:hAnsi="Times New Roman" w:eastAsia="方正仿宋_GBK" w:cs="Times New Roman"/>
          <w:sz w:val="32"/>
          <w:szCs w:val="32"/>
          <w:highlight w:val="none"/>
        </w:rPr>
      </w:pPr>
      <w:r>
        <w:rPr>
          <w:rFonts w:ascii="Times New Roman" w:hAnsi="Times New Roman" w:eastAsia="方正仿宋_GBK" w:cs="Times New Roman"/>
          <w:sz w:val="32"/>
          <w:szCs w:val="32"/>
          <w:highlight w:val="none"/>
        </w:rPr>
        <w:br w:type="page"/>
      </w:r>
    </w:p>
    <w:p w14:paraId="507CE6F7">
      <w:pPr>
        <w:pStyle w:val="3"/>
        <w:spacing w:line="600" w:lineRule="exact"/>
        <w:rPr>
          <w:rFonts w:ascii="Times New Roman" w:hAnsi="Times New Roman" w:eastAsia="方正黑体_GBK" w:cs="Times New Roman"/>
          <w:sz w:val="32"/>
          <w:szCs w:val="32"/>
          <w:highlight w:val="none"/>
        </w:rPr>
      </w:pPr>
      <w:r>
        <w:rPr>
          <w:rFonts w:ascii="Times New Roman" w:hAnsi="Times New Roman" w:eastAsia="黑体" w:cs="Times New Roman"/>
          <w:sz w:val="32"/>
          <w:szCs w:val="32"/>
          <w:highlight w:val="none"/>
        </w:rPr>
        <w:t>附表1</w:t>
      </w:r>
    </w:p>
    <w:p w14:paraId="12AD7975">
      <w:pPr>
        <w:pStyle w:val="3"/>
        <w:spacing w:line="560" w:lineRule="exact"/>
        <w:rPr>
          <w:rFonts w:ascii="Times New Roman" w:hAnsi="Times New Roman" w:eastAsia="方正仿宋_GBK" w:cs="Times New Roman"/>
          <w:sz w:val="32"/>
          <w:szCs w:val="32"/>
          <w:highlight w:val="none"/>
        </w:rPr>
      </w:pPr>
    </w:p>
    <w:p w14:paraId="4146CF2D">
      <w:pPr>
        <w:pStyle w:val="3"/>
        <w:spacing w:line="560" w:lineRule="exact"/>
        <w:jc w:val="center"/>
        <w:rPr>
          <w:rFonts w:ascii="Times New Roman" w:hAnsi="Times New Roman" w:eastAsia="方正小标宋_GBK" w:cs="Times New Roman"/>
          <w:sz w:val="36"/>
          <w:szCs w:val="36"/>
          <w:highlight w:val="none"/>
        </w:rPr>
      </w:pPr>
      <w:r>
        <w:rPr>
          <w:rFonts w:ascii="Times New Roman" w:hAnsi="Times New Roman" w:eastAsia="方正小标宋_GBK" w:cs="Times New Roman"/>
          <w:sz w:val="36"/>
          <w:szCs w:val="36"/>
          <w:highlight w:val="none"/>
        </w:rPr>
        <w:t>四川省</w:t>
      </w:r>
      <w:r>
        <w:rPr>
          <w:rFonts w:hint="eastAsia" w:ascii="Times New Roman" w:hAnsi="Times New Roman" w:eastAsia="方正小标宋_GBK" w:cs="Times New Roman"/>
          <w:sz w:val="36"/>
          <w:szCs w:val="36"/>
          <w:highlight w:val="none"/>
          <w:lang w:eastAsia="zh-CN"/>
        </w:rPr>
        <w:t>2024</w:t>
      </w:r>
      <w:r>
        <w:rPr>
          <w:rFonts w:ascii="Times New Roman" w:hAnsi="Times New Roman" w:eastAsia="方正小标宋_GBK" w:cs="Times New Roman"/>
          <w:sz w:val="36"/>
          <w:szCs w:val="36"/>
          <w:highlight w:val="none"/>
        </w:rPr>
        <w:t>年专科毕业退役军人免试</w:t>
      </w:r>
    </w:p>
    <w:p w14:paraId="26B88BC1">
      <w:pPr>
        <w:pStyle w:val="3"/>
        <w:spacing w:line="560" w:lineRule="exact"/>
        <w:jc w:val="center"/>
        <w:rPr>
          <w:rFonts w:ascii="Times New Roman" w:hAnsi="Times New Roman" w:eastAsia="方正仿宋_GBK" w:cs="Times New Roman"/>
          <w:sz w:val="32"/>
          <w:szCs w:val="32"/>
          <w:highlight w:val="none"/>
        </w:rPr>
      </w:pPr>
      <w:r>
        <w:rPr>
          <w:rFonts w:ascii="Times New Roman" w:hAnsi="Times New Roman" w:eastAsia="方正小标宋_GBK" w:cs="Times New Roman"/>
          <w:sz w:val="36"/>
          <w:szCs w:val="36"/>
          <w:highlight w:val="none"/>
        </w:rPr>
        <w:t>接受成人本科教育申请表</w:t>
      </w:r>
    </w:p>
    <w:tbl>
      <w:tblPr>
        <w:tblStyle w:val="4"/>
        <w:tblpPr w:leftFromText="180" w:rightFromText="180" w:vertAnchor="text" w:horzAnchor="page" w:tblpX="1746" w:tblpY="654"/>
        <w:tblOverlap w:val="never"/>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875"/>
        <w:gridCol w:w="531"/>
        <w:gridCol w:w="944"/>
        <w:gridCol w:w="295"/>
        <w:gridCol w:w="1245"/>
        <w:gridCol w:w="753"/>
        <w:gridCol w:w="1061"/>
        <w:gridCol w:w="630"/>
        <w:gridCol w:w="1559"/>
      </w:tblGrid>
      <w:tr w14:paraId="1D602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trPr>
        <w:tc>
          <w:tcPr>
            <w:tcW w:w="720" w:type="dxa"/>
            <w:vAlign w:val="center"/>
          </w:tcPr>
          <w:p w14:paraId="5855DC83">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姓名</w:t>
            </w:r>
          </w:p>
        </w:tc>
        <w:tc>
          <w:tcPr>
            <w:tcW w:w="1406" w:type="dxa"/>
            <w:gridSpan w:val="2"/>
            <w:vAlign w:val="center"/>
          </w:tcPr>
          <w:p w14:paraId="6B970309">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tc>
        <w:tc>
          <w:tcPr>
            <w:tcW w:w="944" w:type="dxa"/>
            <w:vAlign w:val="center"/>
          </w:tcPr>
          <w:p w14:paraId="46B2F356">
            <w:pPr>
              <w:spacing w:line="280" w:lineRule="exact"/>
              <w:jc w:val="center"/>
              <w:rPr>
                <w:rFonts w:ascii="Times New Roman" w:hAnsi="Times New Roman" w:eastAsia="宋体" w:cs="Times New Roman"/>
                <w:strike/>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性别</w:t>
            </w:r>
          </w:p>
        </w:tc>
        <w:tc>
          <w:tcPr>
            <w:tcW w:w="1540" w:type="dxa"/>
            <w:gridSpan w:val="2"/>
            <w:vAlign w:val="center"/>
          </w:tcPr>
          <w:p w14:paraId="2E9C62FA">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tc>
        <w:tc>
          <w:tcPr>
            <w:tcW w:w="753" w:type="dxa"/>
            <w:vAlign w:val="center"/>
          </w:tcPr>
          <w:p w14:paraId="27FF1EC9">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出生年月</w:t>
            </w:r>
          </w:p>
        </w:tc>
        <w:tc>
          <w:tcPr>
            <w:tcW w:w="1061" w:type="dxa"/>
            <w:vAlign w:val="center"/>
          </w:tcPr>
          <w:p w14:paraId="3F18F1CE">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tc>
        <w:tc>
          <w:tcPr>
            <w:tcW w:w="2189" w:type="dxa"/>
            <w:gridSpan w:val="2"/>
            <w:vMerge w:val="restart"/>
            <w:vAlign w:val="center"/>
          </w:tcPr>
          <w:p w14:paraId="4B5E8E6B">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照</w:t>
            </w:r>
          </w:p>
          <w:p w14:paraId="56A54036">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p w14:paraId="2DF5FEC1">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p w14:paraId="05F038F5">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p w14:paraId="341C75B4">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片</w:t>
            </w:r>
          </w:p>
        </w:tc>
      </w:tr>
      <w:tr w14:paraId="564AB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3" w:hRule="atLeast"/>
        </w:trPr>
        <w:tc>
          <w:tcPr>
            <w:tcW w:w="720" w:type="dxa"/>
            <w:vAlign w:val="center"/>
          </w:tcPr>
          <w:p w14:paraId="77490597">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文化</w:t>
            </w:r>
          </w:p>
          <w:p w14:paraId="5BA8F196">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程度</w:t>
            </w:r>
          </w:p>
        </w:tc>
        <w:tc>
          <w:tcPr>
            <w:tcW w:w="1406" w:type="dxa"/>
            <w:gridSpan w:val="2"/>
            <w:vAlign w:val="center"/>
          </w:tcPr>
          <w:p w14:paraId="63CC8B1D">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tc>
        <w:tc>
          <w:tcPr>
            <w:tcW w:w="944" w:type="dxa"/>
            <w:vAlign w:val="center"/>
          </w:tcPr>
          <w:p w14:paraId="206F4FFC">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身份 证号</w:t>
            </w:r>
          </w:p>
        </w:tc>
        <w:tc>
          <w:tcPr>
            <w:tcW w:w="3354" w:type="dxa"/>
            <w:gridSpan w:val="4"/>
            <w:vAlign w:val="center"/>
          </w:tcPr>
          <w:p w14:paraId="72D3D856">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p w14:paraId="6EFEB856">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p w14:paraId="5B6B9C91">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p w14:paraId="27172A3D">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p w14:paraId="5DFD67AF">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p w14:paraId="2109D76B">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tc>
        <w:tc>
          <w:tcPr>
            <w:tcW w:w="2189" w:type="dxa"/>
            <w:gridSpan w:val="2"/>
            <w:vMerge w:val="continue"/>
            <w:vAlign w:val="center"/>
          </w:tcPr>
          <w:p w14:paraId="7E727C55">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tc>
      </w:tr>
      <w:tr w14:paraId="434BE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trPr>
        <w:tc>
          <w:tcPr>
            <w:tcW w:w="1595" w:type="dxa"/>
            <w:gridSpan w:val="2"/>
            <w:vAlign w:val="center"/>
          </w:tcPr>
          <w:p w14:paraId="72EE480C">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专科或以上毕业学校及毕业时间</w:t>
            </w:r>
          </w:p>
        </w:tc>
        <w:tc>
          <w:tcPr>
            <w:tcW w:w="7018" w:type="dxa"/>
            <w:gridSpan w:val="8"/>
            <w:vAlign w:val="center"/>
          </w:tcPr>
          <w:p w14:paraId="7FE2202B">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p w14:paraId="363606BB">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p w14:paraId="186DFF43">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p w14:paraId="42B3D0EE">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tc>
      </w:tr>
      <w:tr w14:paraId="3F44E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595" w:type="dxa"/>
            <w:gridSpan w:val="2"/>
            <w:vAlign w:val="center"/>
          </w:tcPr>
          <w:p w14:paraId="08680594">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服役、退役时间和服役部队</w:t>
            </w:r>
          </w:p>
        </w:tc>
        <w:tc>
          <w:tcPr>
            <w:tcW w:w="7018" w:type="dxa"/>
            <w:gridSpan w:val="8"/>
            <w:vAlign w:val="center"/>
          </w:tcPr>
          <w:p w14:paraId="5D113645">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p w14:paraId="43D5FAC8">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p w14:paraId="184E8594">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p w14:paraId="0032122A">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tc>
      </w:tr>
      <w:tr w14:paraId="6DA26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exact"/>
        </w:trPr>
        <w:tc>
          <w:tcPr>
            <w:tcW w:w="1595" w:type="dxa"/>
            <w:gridSpan w:val="2"/>
            <w:vMerge w:val="restart"/>
            <w:vAlign w:val="center"/>
          </w:tcPr>
          <w:p w14:paraId="7F4BAC2A">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报考志愿</w:t>
            </w:r>
          </w:p>
          <w:p w14:paraId="0CC60433">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（仅填一个）</w:t>
            </w:r>
          </w:p>
        </w:tc>
        <w:tc>
          <w:tcPr>
            <w:tcW w:w="1770" w:type="dxa"/>
            <w:gridSpan w:val="3"/>
            <w:vAlign w:val="center"/>
          </w:tcPr>
          <w:p w14:paraId="29779728">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学校名称</w:t>
            </w:r>
          </w:p>
        </w:tc>
        <w:tc>
          <w:tcPr>
            <w:tcW w:w="1245" w:type="dxa"/>
            <w:vAlign w:val="center"/>
          </w:tcPr>
          <w:p w14:paraId="028034A2">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专业名称</w:t>
            </w:r>
          </w:p>
        </w:tc>
        <w:tc>
          <w:tcPr>
            <w:tcW w:w="2444" w:type="dxa"/>
            <w:gridSpan w:val="3"/>
            <w:vAlign w:val="center"/>
          </w:tcPr>
          <w:p w14:paraId="03BBC5A0">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学历层次</w:t>
            </w:r>
          </w:p>
        </w:tc>
        <w:tc>
          <w:tcPr>
            <w:tcW w:w="1559" w:type="dxa"/>
            <w:vAlign w:val="center"/>
          </w:tcPr>
          <w:p w14:paraId="6834E75E">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学习形式</w:t>
            </w:r>
          </w:p>
        </w:tc>
      </w:tr>
      <w:tr w14:paraId="40237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exact"/>
        </w:trPr>
        <w:tc>
          <w:tcPr>
            <w:tcW w:w="1595" w:type="dxa"/>
            <w:gridSpan w:val="2"/>
            <w:vMerge w:val="continue"/>
            <w:vAlign w:val="center"/>
          </w:tcPr>
          <w:p w14:paraId="16F59BDF">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tc>
        <w:tc>
          <w:tcPr>
            <w:tcW w:w="1770" w:type="dxa"/>
            <w:gridSpan w:val="3"/>
            <w:vAlign w:val="center"/>
          </w:tcPr>
          <w:p w14:paraId="119696F7">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p w14:paraId="361360EC">
            <w:pPr>
              <w:spacing w:line="280" w:lineRule="exact"/>
              <w:rPr>
                <w:rFonts w:ascii="Times New Roman" w:hAnsi="Times New Roman" w:eastAsia="宋体" w:cs="Times New Roman"/>
                <w:color w:val="000000" w:themeColor="text1"/>
                <w:sz w:val="24"/>
                <w:szCs w:val="24"/>
                <w:highlight w:val="none"/>
                <w14:textFill>
                  <w14:solidFill>
                    <w14:schemeClr w14:val="tx1"/>
                  </w14:solidFill>
                </w14:textFill>
              </w:rPr>
            </w:pPr>
          </w:p>
        </w:tc>
        <w:tc>
          <w:tcPr>
            <w:tcW w:w="1245" w:type="dxa"/>
            <w:vAlign w:val="center"/>
          </w:tcPr>
          <w:p w14:paraId="53D83639">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p w14:paraId="04BB4BB3">
            <w:pPr>
              <w:spacing w:line="280" w:lineRule="exact"/>
              <w:rPr>
                <w:rFonts w:ascii="Times New Roman" w:hAnsi="Times New Roman" w:eastAsia="宋体" w:cs="Times New Roman"/>
                <w:color w:val="000000" w:themeColor="text1"/>
                <w:sz w:val="24"/>
                <w:szCs w:val="24"/>
                <w:highlight w:val="none"/>
                <w14:textFill>
                  <w14:solidFill>
                    <w14:schemeClr w14:val="tx1"/>
                  </w14:solidFill>
                </w14:textFill>
              </w:rPr>
            </w:pPr>
          </w:p>
        </w:tc>
        <w:tc>
          <w:tcPr>
            <w:tcW w:w="2444" w:type="dxa"/>
            <w:gridSpan w:val="3"/>
            <w:vAlign w:val="center"/>
          </w:tcPr>
          <w:p w14:paraId="48F05090">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tc>
        <w:tc>
          <w:tcPr>
            <w:tcW w:w="1559" w:type="dxa"/>
            <w:vAlign w:val="center"/>
          </w:tcPr>
          <w:p w14:paraId="2F3FD66F">
            <w:pPr>
              <w:spacing w:line="28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p>
        </w:tc>
      </w:tr>
      <w:tr w14:paraId="6A167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1" w:hRule="atLeast"/>
        </w:trPr>
        <w:tc>
          <w:tcPr>
            <w:tcW w:w="1595" w:type="dxa"/>
            <w:gridSpan w:val="2"/>
            <w:vAlign w:val="center"/>
          </w:tcPr>
          <w:p w14:paraId="14DE8ED7">
            <w:pPr>
              <w:spacing w:line="40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考 生</w:t>
            </w:r>
          </w:p>
          <w:p w14:paraId="6EC58229">
            <w:pPr>
              <w:spacing w:line="40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本 人</w:t>
            </w:r>
          </w:p>
          <w:p w14:paraId="2CFA13FE">
            <w:pPr>
              <w:spacing w:line="400" w:lineRule="exact"/>
              <w:jc w:val="center"/>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签 字</w:t>
            </w:r>
          </w:p>
        </w:tc>
        <w:tc>
          <w:tcPr>
            <w:tcW w:w="7018" w:type="dxa"/>
            <w:gridSpan w:val="8"/>
            <w:vAlign w:val="center"/>
          </w:tcPr>
          <w:p w14:paraId="55B3C66B">
            <w:pPr>
              <w:spacing w:line="280" w:lineRule="exact"/>
              <w:ind w:right="420"/>
              <w:jc w:val="left"/>
              <w:rPr>
                <w:rFonts w:ascii="Times New Roman" w:hAnsi="Times New Roman" w:eastAsia="宋体" w:cs="Times New Roman"/>
                <w:color w:val="000000" w:themeColor="text1"/>
                <w:sz w:val="24"/>
                <w:szCs w:val="24"/>
                <w:highlight w:val="none"/>
                <w14:textFill>
                  <w14:solidFill>
                    <w14:schemeClr w14:val="tx1"/>
                  </w14:solidFill>
                </w14:textFill>
              </w:rPr>
            </w:pPr>
          </w:p>
          <w:p w14:paraId="014954BA">
            <w:pPr>
              <w:spacing w:line="280" w:lineRule="exact"/>
              <w:ind w:right="420"/>
              <w:jc w:val="left"/>
              <w:rPr>
                <w:rFonts w:ascii="Times New Roman" w:hAnsi="Times New Roman" w:eastAsia="宋体" w:cs="Times New Roman"/>
                <w:color w:val="000000" w:themeColor="text1"/>
                <w:sz w:val="24"/>
                <w:szCs w:val="24"/>
                <w:highlight w:val="none"/>
                <w14:textFill>
                  <w14:solidFill>
                    <w14:schemeClr w14:val="tx1"/>
                  </w14:solidFill>
                </w14:textFill>
              </w:rPr>
            </w:pPr>
          </w:p>
          <w:p w14:paraId="1A85D17E">
            <w:pPr>
              <w:spacing w:line="280" w:lineRule="exact"/>
              <w:ind w:right="420"/>
              <w:jc w:val="right"/>
              <w:rPr>
                <w:rFonts w:ascii="Times New Roman" w:hAnsi="Times New Roman" w:eastAsia="宋体" w:cs="Times New Roman"/>
                <w:color w:val="000000" w:themeColor="text1"/>
                <w:sz w:val="24"/>
                <w:szCs w:val="24"/>
                <w:highlight w:val="none"/>
                <w14:textFill>
                  <w14:solidFill>
                    <w14:schemeClr w14:val="tx1"/>
                  </w14:solidFill>
                </w14:textFill>
              </w:rPr>
            </w:pPr>
          </w:p>
          <w:p w14:paraId="28688CFA">
            <w:pPr>
              <w:spacing w:line="280" w:lineRule="exact"/>
              <w:ind w:right="420"/>
              <w:jc w:val="right"/>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 xml:space="preserve">     年    月    日</w:t>
            </w:r>
          </w:p>
        </w:tc>
      </w:tr>
    </w:tbl>
    <w:p w14:paraId="17B63023">
      <w:pPr>
        <w:pStyle w:val="3"/>
        <w:spacing w:line="560" w:lineRule="exact"/>
        <w:rPr>
          <w:rFonts w:ascii="Times New Roman" w:hAnsi="Times New Roman" w:eastAsia="方正仿宋_GBK" w:cs="Times New Roman"/>
          <w:sz w:val="32"/>
          <w:szCs w:val="32"/>
          <w:highlight w:val="none"/>
        </w:rPr>
      </w:pPr>
    </w:p>
    <w:p w14:paraId="3BDA8885">
      <w:pPr>
        <w:pStyle w:val="7"/>
        <w:spacing w:before="156" w:beforeLines="50" w:line="480" w:lineRule="exact"/>
        <w:ind w:firstLine="480" w:firstLineChars="200"/>
        <w:rPr>
          <w:rFonts w:ascii="Times New Roman" w:hAnsi="Times New Roman" w:eastAsia="黑体"/>
          <w:color w:val="000000" w:themeColor="text1"/>
          <w:highlight w:val="none"/>
          <w14:textFill>
            <w14:solidFill>
              <w14:schemeClr w14:val="tx1"/>
            </w14:solidFill>
          </w14:textFill>
        </w:rPr>
      </w:pPr>
      <w:r>
        <w:rPr>
          <w:rFonts w:ascii="Times New Roman" w:hAnsi="Times New Roman" w:eastAsia="黑体"/>
          <w:color w:val="000000" w:themeColor="text1"/>
          <w:highlight w:val="none"/>
          <w14:textFill>
            <w14:solidFill>
              <w14:schemeClr w14:val="tx1"/>
            </w14:solidFill>
          </w14:textFill>
        </w:rPr>
        <w:t>注：本表志愿须与《考生登记表》志愿栏所填志愿一致。</w:t>
      </w:r>
    </w:p>
    <w:p w14:paraId="5BB7908F">
      <w:pPr>
        <w:pStyle w:val="7"/>
        <w:spacing w:line="480" w:lineRule="exact"/>
        <w:ind w:firstLine="480" w:firstLineChars="200"/>
        <w:rPr>
          <w:rFonts w:ascii="Times New Roman" w:hAnsi="Times New Roman" w:eastAsia="黑体"/>
          <w:color w:val="000000" w:themeColor="text1"/>
          <w:highlight w:val="none"/>
          <w14:textFill>
            <w14:solidFill>
              <w14:schemeClr w14:val="tx1"/>
            </w14:solidFill>
          </w14:textFill>
        </w:rPr>
      </w:pPr>
    </w:p>
    <w:p w14:paraId="6418AE95">
      <w:pPr>
        <w:pStyle w:val="7"/>
        <w:spacing w:line="480" w:lineRule="exact"/>
        <w:ind w:firstLine="480" w:firstLineChars="200"/>
        <w:jc w:val="right"/>
        <w:rPr>
          <w:rFonts w:ascii="Times New Roman" w:hAnsi="Times New Roman" w:eastAsia="黑体"/>
          <w:color w:val="000000" w:themeColor="text1"/>
          <w:highlight w:val="none"/>
          <w14:textFill>
            <w14:solidFill>
              <w14:schemeClr w14:val="tx1"/>
            </w14:solidFill>
          </w14:textFill>
        </w:rPr>
      </w:pPr>
      <w:r>
        <w:rPr>
          <w:rFonts w:ascii="Times New Roman" w:hAnsi="Times New Roman" w:eastAsia="黑体"/>
          <w:color w:val="000000" w:themeColor="text1"/>
          <w:highlight w:val="none"/>
          <w14:textFill>
            <w14:solidFill>
              <w14:schemeClr w14:val="tx1"/>
            </w14:solidFill>
          </w14:textFill>
        </w:rPr>
        <w:t>四川省教育考试院制</w:t>
      </w:r>
    </w:p>
    <w:p w14:paraId="2E788964">
      <w:pPr>
        <w:pStyle w:val="3"/>
        <w:spacing w:line="600" w:lineRule="exact"/>
        <w:rPr>
          <w:rFonts w:ascii="Times New Roman" w:hAnsi="Times New Roman" w:eastAsia="方正黑体_GBK" w:cs="Times New Roman"/>
          <w:sz w:val="32"/>
          <w:szCs w:val="32"/>
          <w:highlight w:val="none"/>
        </w:rPr>
      </w:pPr>
      <w:r>
        <w:rPr>
          <w:rFonts w:ascii="Times New Roman" w:hAnsi="Times New Roman" w:eastAsia="黑体" w:cs="Times New Roman"/>
          <w:sz w:val="32"/>
          <w:szCs w:val="32"/>
          <w:highlight w:val="none"/>
        </w:rPr>
        <w:t>附表2</w:t>
      </w:r>
    </w:p>
    <w:p w14:paraId="24018931">
      <w:pPr>
        <w:pStyle w:val="3"/>
        <w:spacing w:line="400" w:lineRule="exact"/>
        <w:rPr>
          <w:rFonts w:ascii="Times New Roman" w:hAnsi="Times New Roman" w:eastAsia="方正仿宋_GBK" w:cs="Times New Roman"/>
          <w:sz w:val="32"/>
          <w:szCs w:val="32"/>
          <w:highlight w:val="none"/>
        </w:rPr>
      </w:pPr>
    </w:p>
    <w:p w14:paraId="3C9C4A21">
      <w:pPr>
        <w:pStyle w:val="3"/>
        <w:spacing w:line="560" w:lineRule="exact"/>
        <w:jc w:val="center"/>
        <w:rPr>
          <w:rFonts w:ascii="Times New Roman" w:hAnsi="Times New Roman" w:eastAsia="方正小标宋_GBK" w:cs="Times New Roman"/>
          <w:sz w:val="36"/>
          <w:szCs w:val="36"/>
          <w:highlight w:val="none"/>
        </w:rPr>
      </w:pPr>
      <w:r>
        <w:rPr>
          <w:rFonts w:ascii="Times New Roman" w:hAnsi="Times New Roman" w:eastAsia="方正小标宋_GBK" w:cs="Times New Roman"/>
          <w:sz w:val="36"/>
          <w:szCs w:val="36"/>
          <w:highlight w:val="none"/>
        </w:rPr>
        <w:t>四川省</w:t>
      </w:r>
      <w:r>
        <w:rPr>
          <w:rFonts w:hint="eastAsia" w:ascii="Times New Roman" w:hAnsi="Times New Roman" w:eastAsia="方正小标宋_GBK" w:cs="Times New Roman"/>
          <w:sz w:val="36"/>
          <w:szCs w:val="36"/>
          <w:highlight w:val="none"/>
          <w:lang w:eastAsia="zh-CN"/>
        </w:rPr>
        <w:t>2024</w:t>
      </w:r>
      <w:r>
        <w:rPr>
          <w:rFonts w:ascii="Times New Roman" w:hAnsi="Times New Roman" w:eastAsia="方正小标宋_GBK" w:cs="Times New Roman"/>
          <w:sz w:val="36"/>
          <w:szCs w:val="36"/>
          <w:highlight w:val="none"/>
        </w:rPr>
        <w:t>年普通高职（专科）毕业生</w:t>
      </w:r>
    </w:p>
    <w:p w14:paraId="3BC537B6">
      <w:pPr>
        <w:pStyle w:val="3"/>
        <w:spacing w:line="560" w:lineRule="exact"/>
        <w:jc w:val="center"/>
        <w:rPr>
          <w:rFonts w:ascii="Times New Roman" w:hAnsi="Times New Roman" w:eastAsia="方正仿宋_GBK" w:cs="Times New Roman"/>
          <w:w w:val="90"/>
          <w:sz w:val="32"/>
          <w:szCs w:val="32"/>
          <w:highlight w:val="none"/>
        </w:rPr>
      </w:pPr>
      <w:r>
        <w:rPr>
          <w:rFonts w:ascii="Times New Roman" w:hAnsi="Times New Roman" w:eastAsia="仿宋_GB2312" w:cs="Times New Roman"/>
          <w:w w:val="90"/>
          <w:sz w:val="36"/>
          <w:szCs w:val="36"/>
          <w:highlight w:val="none"/>
        </w:rPr>
        <w:t>“</w:t>
      </w:r>
      <w:r>
        <w:rPr>
          <w:rFonts w:ascii="Times New Roman" w:hAnsi="Times New Roman" w:eastAsia="方正小标宋_GBK" w:cs="Times New Roman"/>
          <w:w w:val="90"/>
          <w:sz w:val="36"/>
          <w:szCs w:val="36"/>
          <w:highlight w:val="none"/>
        </w:rPr>
        <w:t>下基层</w:t>
      </w:r>
      <w:r>
        <w:rPr>
          <w:rFonts w:ascii="Times New Roman" w:hAnsi="Times New Roman" w:eastAsia="仿宋_GB2312" w:cs="Times New Roman"/>
          <w:w w:val="90"/>
          <w:sz w:val="36"/>
          <w:szCs w:val="36"/>
          <w:highlight w:val="none"/>
        </w:rPr>
        <w:t>”</w:t>
      </w:r>
      <w:r>
        <w:rPr>
          <w:rFonts w:ascii="Times New Roman" w:hAnsi="Times New Roman" w:eastAsia="方正小标宋_GBK" w:cs="Times New Roman"/>
          <w:w w:val="90"/>
          <w:sz w:val="36"/>
          <w:szCs w:val="36"/>
          <w:highlight w:val="none"/>
        </w:rPr>
        <w:t>服务期满后免试接受成人本科教育申请表</w:t>
      </w:r>
    </w:p>
    <w:p w14:paraId="0EF9113E">
      <w:pPr>
        <w:pStyle w:val="3"/>
        <w:spacing w:line="560" w:lineRule="exact"/>
        <w:rPr>
          <w:rFonts w:ascii="Times New Roman" w:hAnsi="Times New Roman" w:eastAsia="方正仿宋_GBK" w:cs="Times New Roman"/>
          <w:sz w:val="32"/>
          <w:szCs w:val="32"/>
          <w:highlight w:val="none"/>
        </w:rPr>
      </w:pPr>
      <w:r>
        <w:rPr>
          <w:rFonts w:ascii="Times New Roman" w:hAnsi="Times New Roman" w:eastAsia="方正仿宋_GBK" w:cs="Times New Roman"/>
          <w:sz w:val="32"/>
          <w:szCs w:val="32"/>
          <w:highlight w:val="none"/>
        </w:rPr>
        <w:drawing>
          <wp:anchor distT="0" distB="0" distL="114300" distR="114300" simplePos="0" relativeHeight="251659264" behindDoc="0" locked="0" layoutInCell="1" allowOverlap="1">
            <wp:simplePos x="0" y="0"/>
            <wp:positionH relativeFrom="column">
              <wp:posOffset>209550</wp:posOffset>
            </wp:positionH>
            <wp:positionV relativeFrom="paragraph">
              <wp:posOffset>257810</wp:posOffset>
            </wp:positionV>
            <wp:extent cx="5274310" cy="6448425"/>
            <wp:effectExtent l="0" t="0" r="254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6448425"/>
                    </a:xfrm>
                    <a:prstGeom prst="rect">
                      <a:avLst/>
                    </a:prstGeom>
                  </pic:spPr>
                </pic:pic>
              </a:graphicData>
            </a:graphic>
          </wp:anchor>
        </w:drawing>
      </w:r>
    </w:p>
    <w:p w14:paraId="5214B65A">
      <w:pPr>
        <w:pStyle w:val="3"/>
        <w:spacing w:line="560" w:lineRule="exact"/>
        <w:rPr>
          <w:rFonts w:ascii="Times New Roman" w:hAnsi="Times New Roman" w:eastAsia="方正仿宋_GBK" w:cs="Times New Roman"/>
          <w:sz w:val="32"/>
          <w:szCs w:val="32"/>
          <w:highlight w:val="none"/>
        </w:rPr>
      </w:pPr>
    </w:p>
    <w:p w14:paraId="1CB2CD44">
      <w:pPr>
        <w:pStyle w:val="3"/>
        <w:spacing w:line="560" w:lineRule="exact"/>
        <w:rPr>
          <w:rFonts w:ascii="Times New Roman" w:hAnsi="Times New Roman" w:eastAsia="方正仿宋_GBK" w:cs="Times New Roman"/>
          <w:sz w:val="32"/>
          <w:szCs w:val="32"/>
          <w:highlight w:val="none"/>
        </w:rPr>
      </w:pPr>
    </w:p>
    <w:p w14:paraId="6B09335D">
      <w:pPr>
        <w:pStyle w:val="3"/>
        <w:spacing w:line="560" w:lineRule="exact"/>
        <w:rPr>
          <w:rFonts w:ascii="Times New Roman" w:hAnsi="Times New Roman" w:eastAsia="方正仿宋_GBK" w:cs="Times New Roman"/>
          <w:sz w:val="32"/>
          <w:szCs w:val="32"/>
          <w:highlight w:val="none"/>
        </w:rPr>
      </w:pPr>
    </w:p>
    <w:p w14:paraId="317BAFA8">
      <w:pPr>
        <w:pStyle w:val="3"/>
        <w:spacing w:line="560" w:lineRule="exact"/>
        <w:rPr>
          <w:rFonts w:ascii="Times New Roman" w:hAnsi="Times New Roman" w:eastAsia="方正仿宋_GBK" w:cs="Times New Roman"/>
          <w:sz w:val="32"/>
          <w:szCs w:val="32"/>
          <w:highlight w:val="none"/>
        </w:rPr>
      </w:pPr>
    </w:p>
    <w:p w14:paraId="20269BC6">
      <w:pPr>
        <w:pStyle w:val="3"/>
        <w:spacing w:line="560" w:lineRule="exact"/>
        <w:rPr>
          <w:rFonts w:ascii="Times New Roman" w:hAnsi="Times New Roman" w:eastAsia="方正仿宋_GBK" w:cs="Times New Roman"/>
          <w:sz w:val="32"/>
          <w:szCs w:val="32"/>
          <w:highlight w:val="none"/>
        </w:rPr>
      </w:pPr>
    </w:p>
    <w:p w14:paraId="32731412">
      <w:pPr>
        <w:pStyle w:val="3"/>
        <w:spacing w:line="560" w:lineRule="exact"/>
        <w:rPr>
          <w:rFonts w:ascii="Times New Roman" w:hAnsi="Times New Roman" w:eastAsia="方正仿宋_GBK" w:cs="Times New Roman"/>
          <w:sz w:val="32"/>
          <w:szCs w:val="32"/>
          <w:highlight w:val="none"/>
        </w:rPr>
      </w:pPr>
    </w:p>
    <w:p w14:paraId="40C383F6">
      <w:pPr>
        <w:pStyle w:val="3"/>
        <w:spacing w:line="560" w:lineRule="exact"/>
        <w:rPr>
          <w:rFonts w:ascii="Times New Roman" w:hAnsi="Times New Roman" w:eastAsia="方正仿宋_GBK" w:cs="Times New Roman"/>
          <w:sz w:val="32"/>
          <w:szCs w:val="32"/>
          <w:highlight w:val="none"/>
        </w:rPr>
      </w:pPr>
    </w:p>
    <w:p w14:paraId="4C3BDB5A">
      <w:pPr>
        <w:pStyle w:val="3"/>
        <w:spacing w:line="560" w:lineRule="exact"/>
        <w:rPr>
          <w:rFonts w:ascii="Times New Roman" w:hAnsi="Times New Roman" w:eastAsia="方正仿宋_GBK" w:cs="Times New Roman"/>
          <w:sz w:val="32"/>
          <w:szCs w:val="32"/>
          <w:highlight w:val="none"/>
        </w:rPr>
      </w:pPr>
    </w:p>
    <w:p w14:paraId="7CE0A01A">
      <w:pPr>
        <w:pStyle w:val="3"/>
        <w:spacing w:line="560" w:lineRule="exact"/>
        <w:rPr>
          <w:rFonts w:ascii="Times New Roman" w:hAnsi="Times New Roman" w:eastAsia="方正仿宋_GBK" w:cs="Times New Roman"/>
          <w:sz w:val="32"/>
          <w:szCs w:val="32"/>
          <w:highlight w:val="none"/>
        </w:rPr>
      </w:pPr>
    </w:p>
    <w:p w14:paraId="0E302356">
      <w:pPr>
        <w:pStyle w:val="3"/>
        <w:spacing w:line="560" w:lineRule="exact"/>
        <w:rPr>
          <w:rFonts w:ascii="Times New Roman" w:hAnsi="Times New Roman" w:eastAsia="方正仿宋_GBK" w:cs="Times New Roman"/>
          <w:sz w:val="32"/>
          <w:szCs w:val="32"/>
          <w:highlight w:val="none"/>
        </w:rPr>
      </w:pPr>
    </w:p>
    <w:p w14:paraId="257887FB">
      <w:pPr>
        <w:pStyle w:val="3"/>
        <w:spacing w:line="560" w:lineRule="exact"/>
        <w:rPr>
          <w:rFonts w:ascii="Times New Roman" w:hAnsi="Times New Roman" w:eastAsia="方正仿宋_GBK" w:cs="Times New Roman"/>
          <w:sz w:val="32"/>
          <w:szCs w:val="32"/>
          <w:highlight w:val="none"/>
        </w:rPr>
      </w:pPr>
    </w:p>
    <w:p w14:paraId="52396236">
      <w:pPr>
        <w:pStyle w:val="3"/>
        <w:spacing w:line="560" w:lineRule="exact"/>
        <w:rPr>
          <w:rFonts w:ascii="Times New Roman" w:hAnsi="Times New Roman" w:eastAsia="方正仿宋_GBK" w:cs="Times New Roman"/>
          <w:sz w:val="32"/>
          <w:szCs w:val="32"/>
          <w:highlight w:val="none"/>
        </w:rPr>
      </w:pPr>
    </w:p>
    <w:p w14:paraId="44956F9F">
      <w:pPr>
        <w:pStyle w:val="3"/>
        <w:spacing w:line="560" w:lineRule="exact"/>
        <w:rPr>
          <w:rFonts w:ascii="Times New Roman" w:hAnsi="Times New Roman" w:eastAsia="方正仿宋_GBK" w:cs="Times New Roman"/>
          <w:sz w:val="32"/>
          <w:szCs w:val="32"/>
          <w:highlight w:val="none"/>
        </w:rPr>
      </w:pPr>
    </w:p>
    <w:p w14:paraId="085FFFDD">
      <w:pPr>
        <w:pStyle w:val="3"/>
        <w:spacing w:line="560" w:lineRule="exact"/>
        <w:rPr>
          <w:rFonts w:ascii="Times New Roman" w:hAnsi="Times New Roman" w:eastAsia="方正仿宋_GBK" w:cs="Times New Roman"/>
          <w:sz w:val="32"/>
          <w:szCs w:val="32"/>
          <w:highlight w:val="none"/>
        </w:rPr>
      </w:pPr>
    </w:p>
    <w:p w14:paraId="28F0381F">
      <w:pPr>
        <w:pStyle w:val="3"/>
        <w:spacing w:line="560" w:lineRule="exact"/>
        <w:rPr>
          <w:rFonts w:ascii="Times New Roman" w:hAnsi="Times New Roman" w:eastAsia="方正仿宋_GBK" w:cs="Times New Roman"/>
          <w:sz w:val="32"/>
          <w:szCs w:val="32"/>
          <w:highlight w:val="none"/>
        </w:rPr>
      </w:pPr>
    </w:p>
    <w:p w14:paraId="5B3C47A4">
      <w:pPr>
        <w:pStyle w:val="3"/>
        <w:spacing w:line="560" w:lineRule="exact"/>
        <w:rPr>
          <w:rFonts w:ascii="Times New Roman" w:hAnsi="Times New Roman" w:eastAsia="方正仿宋_GBK" w:cs="Times New Roman"/>
          <w:sz w:val="32"/>
          <w:szCs w:val="32"/>
          <w:highlight w:val="none"/>
        </w:rPr>
      </w:pPr>
    </w:p>
    <w:p w14:paraId="580E611E">
      <w:pPr>
        <w:pStyle w:val="3"/>
        <w:spacing w:line="560" w:lineRule="exact"/>
        <w:rPr>
          <w:rFonts w:ascii="Times New Roman" w:hAnsi="Times New Roman" w:eastAsia="方正仿宋_GBK" w:cs="Times New Roman"/>
          <w:sz w:val="32"/>
          <w:szCs w:val="32"/>
          <w:highlight w:val="none"/>
        </w:rPr>
      </w:pPr>
    </w:p>
    <w:p w14:paraId="21B27811">
      <w:pPr>
        <w:pStyle w:val="3"/>
        <w:spacing w:line="560" w:lineRule="exact"/>
        <w:rPr>
          <w:rFonts w:ascii="Times New Roman" w:hAnsi="Times New Roman" w:eastAsia="方正黑体_GBK" w:cs="Times New Roman"/>
          <w:sz w:val="32"/>
          <w:szCs w:val="32"/>
          <w:highlight w:val="none"/>
        </w:rPr>
      </w:pPr>
    </w:p>
    <w:p w14:paraId="5F6899F2">
      <w:pPr>
        <w:pStyle w:val="3"/>
        <w:spacing w:line="600" w:lineRule="exact"/>
        <w:rPr>
          <w:rFonts w:ascii="Times New Roman" w:hAnsi="Times New Roman" w:eastAsia="黑体" w:cs="Times New Roman"/>
          <w:sz w:val="32"/>
          <w:szCs w:val="32"/>
          <w:highlight w:val="none"/>
        </w:rPr>
      </w:pPr>
    </w:p>
    <w:p w14:paraId="1B8A8375">
      <w:pPr>
        <w:pStyle w:val="3"/>
        <w:spacing w:line="600" w:lineRule="exact"/>
        <w:rPr>
          <w:rFonts w:ascii="Times New Roman" w:hAnsi="Times New Roman" w:eastAsia="黑体" w:cs="Times New Roman"/>
          <w:sz w:val="32"/>
          <w:szCs w:val="32"/>
          <w:highlight w:val="none"/>
        </w:rPr>
      </w:pPr>
    </w:p>
    <w:p w14:paraId="04965608">
      <w:pPr>
        <w:pStyle w:val="3"/>
        <w:spacing w:line="600" w:lineRule="exact"/>
        <w:rPr>
          <w:rFonts w:ascii="Times New Roman" w:hAnsi="Times New Roman" w:eastAsia="黑体" w:cs="Times New Roman"/>
          <w:sz w:val="32"/>
          <w:szCs w:val="32"/>
          <w:highlight w:val="none"/>
        </w:rPr>
      </w:pPr>
    </w:p>
    <w:p w14:paraId="7C1425C3">
      <w:pPr>
        <w:pStyle w:val="3"/>
        <w:spacing w:line="600" w:lineRule="exact"/>
        <w:rPr>
          <w:rFonts w:ascii="Times New Roman" w:hAnsi="Times New Roman" w:eastAsia="方正黑体_GBK" w:cs="Times New Roman"/>
          <w:sz w:val="32"/>
          <w:szCs w:val="32"/>
          <w:highlight w:val="none"/>
        </w:rPr>
      </w:pPr>
      <w:r>
        <w:rPr>
          <w:rFonts w:ascii="Times New Roman" w:hAnsi="Times New Roman" w:eastAsia="黑体" w:cs="Times New Roman"/>
          <w:sz w:val="32"/>
          <w:szCs w:val="32"/>
          <w:highlight w:val="none"/>
        </w:rPr>
        <w:t>附表3</w:t>
      </w:r>
    </w:p>
    <w:p w14:paraId="13281BE4">
      <w:pPr>
        <w:pStyle w:val="3"/>
        <w:spacing w:line="560" w:lineRule="exact"/>
        <w:rPr>
          <w:rFonts w:ascii="Times New Roman" w:hAnsi="Times New Roman" w:eastAsia="方正仿宋_GBK" w:cs="Times New Roman"/>
          <w:sz w:val="32"/>
          <w:szCs w:val="32"/>
          <w:highlight w:val="none"/>
        </w:rPr>
      </w:pPr>
      <w:bookmarkStart w:id="0" w:name="_GoBack"/>
      <w:r>
        <w:rPr>
          <w:rFonts w:ascii="Times New Roman" w:hAnsi="Times New Roman" w:eastAsia="方正仿宋_GBK" w:cs="Times New Roman"/>
          <w:sz w:val="32"/>
          <w:szCs w:val="32"/>
          <w:highlight w:val="none"/>
        </w:rPr>
        <w:drawing>
          <wp:anchor distT="0" distB="0" distL="114300" distR="114300" simplePos="0" relativeHeight="251660288" behindDoc="0" locked="0" layoutInCell="1" allowOverlap="1">
            <wp:simplePos x="0" y="0"/>
            <wp:positionH relativeFrom="margin">
              <wp:posOffset>463550</wp:posOffset>
            </wp:positionH>
            <wp:positionV relativeFrom="paragraph">
              <wp:posOffset>332740</wp:posOffset>
            </wp:positionV>
            <wp:extent cx="4406900" cy="7576185"/>
            <wp:effectExtent l="0" t="0" r="3175" b="571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406900" cy="7576185"/>
                    </a:xfrm>
                    <a:prstGeom prst="rect">
                      <a:avLst/>
                    </a:prstGeom>
                  </pic:spPr>
                </pic:pic>
              </a:graphicData>
            </a:graphic>
          </wp:anchor>
        </w:drawing>
      </w:r>
      <w:bookmarkEnd w:id="0"/>
    </w:p>
    <w:p w14:paraId="2EDCFFE6">
      <w:pPr>
        <w:pStyle w:val="3"/>
        <w:spacing w:line="560" w:lineRule="exact"/>
        <w:rPr>
          <w:rFonts w:ascii="Times New Roman" w:hAnsi="Times New Roman" w:eastAsia="方正仿宋_GBK" w:cs="Times New Roman"/>
          <w:sz w:val="32"/>
          <w:szCs w:val="32"/>
          <w:highlight w:val="none"/>
        </w:rPr>
      </w:pPr>
    </w:p>
    <w:p w14:paraId="7B657869">
      <w:pPr>
        <w:pStyle w:val="3"/>
        <w:spacing w:line="560" w:lineRule="exact"/>
        <w:rPr>
          <w:rFonts w:ascii="Times New Roman" w:hAnsi="Times New Roman" w:eastAsia="方正仿宋_GBK" w:cs="Times New Roman"/>
          <w:sz w:val="32"/>
          <w:szCs w:val="32"/>
          <w:highlight w:val="none"/>
        </w:rPr>
      </w:pPr>
    </w:p>
    <w:p w14:paraId="7BA6341F">
      <w:pPr>
        <w:pStyle w:val="3"/>
        <w:spacing w:line="560" w:lineRule="exact"/>
        <w:rPr>
          <w:rFonts w:ascii="Times New Roman" w:hAnsi="Times New Roman" w:eastAsia="方正仿宋_GBK" w:cs="Times New Roman"/>
          <w:sz w:val="32"/>
          <w:szCs w:val="32"/>
          <w:highlight w:val="none"/>
        </w:rPr>
      </w:pPr>
    </w:p>
    <w:p w14:paraId="08829420">
      <w:pPr>
        <w:pStyle w:val="3"/>
        <w:spacing w:line="560" w:lineRule="exact"/>
        <w:rPr>
          <w:rFonts w:ascii="Times New Roman" w:hAnsi="Times New Roman" w:eastAsia="方正仿宋_GBK" w:cs="Times New Roman"/>
          <w:sz w:val="32"/>
          <w:szCs w:val="32"/>
          <w:highlight w:val="none"/>
        </w:rPr>
      </w:pPr>
    </w:p>
    <w:p w14:paraId="1A920873">
      <w:pPr>
        <w:pStyle w:val="3"/>
        <w:spacing w:line="560" w:lineRule="exact"/>
        <w:rPr>
          <w:rFonts w:ascii="Times New Roman" w:hAnsi="Times New Roman" w:eastAsia="方正仿宋_GBK" w:cs="Times New Roman"/>
          <w:sz w:val="32"/>
          <w:szCs w:val="32"/>
          <w:highlight w:val="none"/>
        </w:rPr>
      </w:pPr>
    </w:p>
    <w:p w14:paraId="57EAF69C">
      <w:pPr>
        <w:pStyle w:val="3"/>
        <w:spacing w:line="560" w:lineRule="exact"/>
        <w:rPr>
          <w:rFonts w:ascii="Times New Roman" w:hAnsi="Times New Roman" w:eastAsia="方正仿宋_GBK" w:cs="Times New Roman"/>
          <w:sz w:val="32"/>
          <w:szCs w:val="32"/>
          <w:highlight w:val="none"/>
        </w:rPr>
      </w:pPr>
    </w:p>
    <w:p w14:paraId="30D5B2CB">
      <w:pPr>
        <w:pStyle w:val="3"/>
        <w:spacing w:line="560" w:lineRule="exact"/>
        <w:rPr>
          <w:rFonts w:ascii="Times New Roman" w:hAnsi="Times New Roman" w:eastAsia="方正仿宋_GBK" w:cs="Times New Roman"/>
          <w:sz w:val="32"/>
          <w:szCs w:val="32"/>
          <w:highlight w:val="none"/>
        </w:rPr>
      </w:pPr>
    </w:p>
    <w:p w14:paraId="263E1037">
      <w:pPr>
        <w:pStyle w:val="3"/>
        <w:spacing w:line="560" w:lineRule="exact"/>
        <w:rPr>
          <w:rFonts w:ascii="Times New Roman" w:hAnsi="Times New Roman" w:eastAsia="方正仿宋_GBK" w:cs="Times New Roman"/>
          <w:sz w:val="32"/>
          <w:szCs w:val="32"/>
          <w:highlight w:val="none"/>
        </w:rPr>
      </w:pPr>
    </w:p>
    <w:p w14:paraId="0B016F7D">
      <w:pPr>
        <w:pStyle w:val="3"/>
        <w:spacing w:line="560" w:lineRule="exact"/>
        <w:rPr>
          <w:rFonts w:ascii="Times New Roman" w:hAnsi="Times New Roman" w:eastAsia="方正仿宋_GBK" w:cs="Times New Roman"/>
          <w:sz w:val="32"/>
          <w:szCs w:val="32"/>
          <w:highlight w:val="none"/>
        </w:rPr>
      </w:pPr>
    </w:p>
    <w:p w14:paraId="7C00EB66">
      <w:pPr>
        <w:pStyle w:val="3"/>
        <w:spacing w:line="560" w:lineRule="exact"/>
        <w:rPr>
          <w:rFonts w:ascii="Times New Roman" w:hAnsi="Times New Roman" w:eastAsia="方正仿宋_GBK" w:cs="Times New Roman"/>
          <w:sz w:val="32"/>
          <w:szCs w:val="32"/>
          <w:highlight w:val="none"/>
        </w:rPr>
      </w:pPr>
    </w:p>
    <w:p w14:paraId="330DDD65">
      <w:pPr>
        <w:pStyle w:val="3"/>
        <w:spacing w:line="560" w:lineRule="exact"/>
        <w:rPr>
          <w:rFonts w:ascii="Times New Roman" w:hAnsi="Times New Roman" w:eastAsia="方正仿宋_GBK" w:cs="Times New Roman"/>
          <w:sz w:val="32"/>
          <w:szCs w:val="32"/>
          <w:highlight w:val="none"/>
        </w:rPr>
      </w:pPr>
    </w:p>
    <w:p w14:paraId="64F74C78">
      <w:pPr>
        <w:pStyle w:val="3"/>
        <w:spacing w:line="560" w:lineRule="exact"/>
        <w:rPr>
          <w:rFonts w:ascii="Times New Roman" w:hAnsi="Times New Roman" w:eastAsia="方正仿宋_GBK" w:cs="Times New Roman"/>
          <w:sz w:val="32"/>
          <w:szCs w:val="32"/>
          <w:highlight w:val="none"/>
        </w:rPr>
      </w:pPr>
    </w:p>
    <w:p w14:paraId="39D117BE">
      <w:pPr>
        <w:pStyle w:val="3"/>
        <w:spacing w:line="560" w:lineRule="exact"/>
        <w:rPr>
          <w:rFonts w:ascii="Times New Roman" w:hAnsi="Times New Roman" w:eastAsia="方正仿宋_GBK" w:cs="Times New Roman"/>
          <w:sz w:val="32"/>
          <w:szCs w:val="32"/>
          <w:highlight w:val="none"/>
        </w:rPr>
      </w:pPr>
    </w:p>
    <w:p w14:paraId="0D4AD4BB">
      <w:pPr>
        <w:pStyle w:val="3"/>
        <w:spacing w:line="560" w:lineRule="exact"/>
        <w:rPr>
          <w:rFonts w:ascii="Times New Roman" w:hAnsi="Times New Roman" w:eastAsia="方正仿宋_GBK" w:cs="Times New Roman"/>
          <w:sz w:val="32"/>
          <w:szCs w:val="32"/>
          <w:highlight w:val="none"/>
        </w:rPr>
      </w:pPr>
    </w:p>
    <w:p w14:paraId="2DB6CAE2">
      <w:pPr>
        <w:pStyle w:val="3"/>
        <w:spacing w:line="560" w:lineRule="exact"/>
        <w:rPr>
          <w:rFonts w:ascii="Times New Roman" w:hAnsi="Times New Roman" w:eastAsia="方正仿宋_GBK" w:cs="Times New Roman"/>
          <w:sz w:val="32"/>
          <w:szCs w:val="32"/>
          <w:highlight w:val="none"/>
        </w:rPr>
      </w:pPr>
    </w:p>
    <w:p w14:paraId="160BF775">
      <w:pPr>
        <w:pStyle w:val="3"/>
        <w:spacing w:line="560" w:lineRule="exact"/>
        <w:rPr>
          <w:rFonts w:ascii="Times New Roman" w:hAnsi="Times New Roman" w:eastAsia="方正仿宋_GBK" w:cs="Times New Roman"/>
          <w:sz w:val="32"/>
          <w:szCs w:val="32"/>
          <w:highlight w:val="none"/>
        </w:rPr>
      </w:pPr>
    </w:p>
    <w:p w14:paraId="40FD693A">
      <w:pPr>
        <w:pStyle w:val="3"/>
        <w:spacing w:line="560" w:lineRule="exact"/>
        <w:rPr>
          <w:rFonts w:ascii="Times New Roman" w:hAnsi="Times New Roman" w:eastAsia="方正仿宋_GBK" w:cs="Times New Roman"/>
          <w:sz w:val="32"/>
          <w:szCs w:val="32"/>
          <w:highlight w:val="none"/>
        </w:rPr>
      </w:pPr>
    </w:p>
    <w:p w14:paraId="74095B88">
      <w:pPr>
        <w:pStyle w:val="3"/>
        <w:spacing w:line="560" w:lineRule="exact"/>
        <w:rPr>
          <w:rFonts w:ascii="Times New Roman" w:hAnsi="Times New Roman" w:eastAsia="方正仿宋_GBK" w:cs="Times New Roman"/>
          <w:sz w:val="32"/>
          <w:szCs w:val="32"/>
          <w:highlight w:val="none"/>
        </w:rPr>
      </w:pPr>
    </w:p>
    <w:p w14:paraId="3F983754">
      <w:pPr>
        <w:pStyle w:val="3"/>
        <w:spacing w:line="560" w:lineRule="exact"/>
        <w:rPr>
          <w:rFonts w:ascii="Times New Roman" w:hAnsi="Times New Roman" w:eastAsia="方正仿宋_GBK" w:cs="Times New Roman"/>
          <w:sz w:val="32"/>
          <w:szCs w:val="32"/>
          <w:highlight w:val="none"/>
        </w:rPr>
      </w:pPr>
    </w:p>
    <w:p w14:paraId="116762C0">
      <w:pPr>
        <w:pStyle w:val="3"/>
        <w:spacing w:line="560" w:lineRule="exact"/>
        <w:rPr>
          <w:rFonts w:ascii="Times New Roman" w:hAnsi="Times New Roman" w:eastAsia="方正黑体_GBK" w:cs="Times New Roman"/>
          <w:sz w:val="32"/>
          <w:szCs w:val="32"/>
          <w:highlight w:val="none"/>
        </w:rPr>
      </w:pPr>
    </w:p>
    <w:p w14:paraId="5EB7AC4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2000000000000000000"/>
    <w:charset w:val="86"/>
    <w:family w:val="script"/>
    <w:pitch w:val="default"/>
    <w:sig w:usb0="A00002BF" w:usb1="38CF7CFA" w:usb2="00082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义启仿宋体">
    <w:altName w:val="仿宋"/>
    <w:panose1 w:val="00000000000000000000"/>
    <w:charset w:val="80"/>
    <w:family w:val="auto"/>
    <w:pitch w:val="default"/>
    <w:sig w:usb0="00000000" w:usb1="00000000" w:usb2="00000012" w:usb3="00000000" w:csb0="00020001" w:csb1="00000000"/>
  </w:font>
  <w:font w:name="方正楷体_GBK">
    <w:panose1 w:val="02000000000000000000"/>
    <w:charset w:val="86"/>
    <w:family w:val="script"/>
    <w:pitch w:val="default"/>
    <w:sig w:usb0="800002BF" w:usb1="38CF7CFA" w:usb2="00000016"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23151998"/>
    <w:rsid w:val="0B5965AB"/>
    <w:rsid w:val="0F6B2258"/>
    <w:rsid w:val="231519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680"/>
    </w:pPr>
    <w:rPr>
      <w:rFonts w:eastAsia="义启仿宋体"/>
      <w:sz w:val="32"/>
      <w:szCs w:val="32"/>
    </w:rPr>
  </w:style>
  <w:style w:type="paragraph" w:styleId="3">
    <w:name w:val="Plain Text"/>
    <w:basedOn w:val="1"/>
    <w:unhideWhenUsed/>
    <w:qFormat/>
    <w:uiPriority w:val="99"/>
    <w:rPr>
      <w:rFonts w:hAnsi="Courier New" w:cs="Courier New" w:asciiTheme="minorEastAsia"/>
    </w:rPr>
  </w:style>
  <w:style w:type="paragraph" w:customStyle="1" w:styleId="6">
    <w:name w:val="样式 样式 正文文本 + (西文) 宋体 (中文) 宋体 小四 黑色 图案: 清除 (白色) + (西文) 黑体 (中文) 黑...1"/>
    <w:qFormat/>
    <w:uiPriority w:val="0"/>
    <w:pPr>
      <w:widowControl w:val="0"/>
      <w:spacing w:line="480" w:lineRule="exact"/>
      <w:ind w:firstLine="480" w:firstLineChars="200"/>
      <w:jc w:val="both"/>
    </w:pPr>
    <w:rPr>
      <w:rFonts w:ascii="黑体" w:hAnsi="宋体" w:eastAsia="黑体" w:cs="宋体"/>
      <w:color w:val="000000"/>
      <w:kern w:val="2"/>
      <w:sz w:val="24"/>
      <w:shd w:val="clear" w:color="auto" w:fill="FFFFFF"/>
      <w:lang w:val="en-US" w:eastAsia="zh-CN" w:bidi="ar-SA"/>
    </w:rPr>
  </w:style>
  <w:style w:type="paragraph" w:customStyle="1" w:styleId="7">
    <w:name w:val="样式 正文文本 + (西文) 宋体 (中文) 宋体 小四 黑色 图案: 清除 (白色)"/>
    <w:qFormat/>
    <w:uiPriority w:val="0"/>
    <w:pPr>
      <w:widowControl w:val="0"/>
      <w:spacing w:line="600" w:lineRule="exact"/>
      <w:jc w:val="both"/>
    </w:pPr>
    <w:rPr>
      <w:rFonts w:ascii="宋体" w:hAnsi="宋体" w:eastAsia="宋体" w:cs="Times New Roman"/>
      <w:color w:val="000000"/>
      <w:kern w:val="2"/>
      <w:sz w:val="24"/>
      <w:szCs w:val="36"/>
      <w:shd w:val="clear" w:color="auto" w:fill="FFFFFF"/>
      <w:lang w:val="en-US" w:eastAsia="zh-CN" w:bidi="ar-SA"/>
    </w:rPr>
  </w:style>
  <w:style w:type="table" w:customStyle="1" w:styleId="8">
    <w:name w:val="Table Normal"/>
    <w:basedOn w:val="4"/>
    <w:qFormat/>
    <w:uiPriority w:val="0"/>
    <w:rPr>
      <w:rFonts w:ascii="Times New Roman" w:hAnsi="Times New Roman" w:eastAsia="Times New Roman" w:cs="Times New Roman"/>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2024-08-14T04:33:00Z</dcterms:created>
  <dc:creator>WPS_1675735716</dc:creator>
  <cp:lastModifiedBy>WPS_1675735716</cp:lastModifiedBy>
  <dcterms:modified xsi:type="dcterms:W3CDTF">2024-08-14T04:35:01Z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8A7FD73C5A1145BB99FCF03896BD1879_13</vt:lpwstr>
  </property>
</Properties>
</file>